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73461" w:rsidRDefault="00973461" w:rsidP="00FC3EBC">
      <w:pPr>
        <w:spacing w:before="120" w:after="0" w:line="240" w:lineRule="auto"/>
        <w:ind w:left="1134" w:hanging="1134"/>
        <w:jc w:val="center"/>
        <w:rPr>
          <w:rFonts w:ascii="Arial" w:hAnsi="Arial" w:cs="Arial"/>
          <w:b/>
          <w:bCs/>
          <w:u w:val="single"/>
        </w:rPr>
      </w:pPr>
      <w:bookmarkStart w:id="0" w:name="_GoBack"/>
      <w:bookmarkEnd w:id="0"/>
      <w:r>
        <w:rPr>
          <w:rFonts w:ascii="Arial" w:hAnsi="Arial" w:cs="Arial"/>
          <w:b/>
          <w:bCs/>
          <w:u w:val="single"/>
        </w:rPr>
        <w:t>ANEXO I</w:t>
      </w:r>
    </w:p>
    <w:p w:rsidR="00973461" w:rsidRDefault="00973461" w:rsidP="00FC3EBC">
      <w:pPr>
        <w:spacing w:before="120" w:after="0" w:line="240" w:lineRule="auto"/>
        <w:ind w:left="1134" w:hanging="1134"/>
        <w:jc w:val="center"/>
        <w:rPr>
          <w:rFonts w:ascii="Arial" w:hAnsi="Arial" w:cs="Arial"/>
          <w:b/>
          <w:bCs/>
          <w:u w:val="single"/>
        </w:rPr>
      </w:pPr>
    </w:p>
    <w:p w:rsidR="00973461" w:rsidRDefault="00973461" w:rsidP="00FC3EBC">
      <w:pPr>
        <w:spacing w:before="120" w:after="0" w:line="240" w:lineRule="auto"/>
        <w:ind w:left="1134" w:hanging="1134"/>
        <w:jc w:val="center"/>
        <w:rPr>
          <w:rFonts w:ascii="Arial" w:hAnsi="Arial" w:cs="Arial"/>
          <w:b/>
          <w:bCs/>
          <w:u w:val="single"/>
        </w:rPr>
      </w:pPr>
      <w:r w:rsidRPr="003506E3">
        <w:rPr>
          <w:rFonts w:ascii="Arial" w:hAnsi="Arial" w:cs="Arial"/>
          <w:b/>
          <w:bCs/>
          <w:u w:val="single"/>
        </w:rPr>
        <w:t xml:space="preserve">CUERPO </w:t>
      </w:r>
      <w:r>
        <w:rPr>
          <w:rFonts w:ascii="Arial" w:hAnsi="Arial" w:cs="Arial"/>
          <w:b/>
          <w:bCs/>
          <w:u w:val="single"/>
        </w:rPr>
        <w:t>DIPLOMADOS Y TÉCNICOS MEDIOS</w:t>
      </w:r>
      <w:r w:rsidRPr="003506E3">
        <w:rPr>
          <w:rFonts w:ascii="Arial" w:hAnsi="Arial" w:cs="Arial"/>
          <w:b/>
          <w:bCs/>
          <w:u w:val="single"/>
        </w:rPr>
        <w:t xml:space="preserve"> </w:t>
      </w:r>
    </w:p>
    <w:p w:rsidR="00973461" w:rsidRPr="003506E3" w:rsidRDefault="00973461" w:rsidP="00FC3EBC">
      <w:pPr>
        <w:spacing w:before="120" w:after="0" w:line="240" w:lineRule="auto"/>
        <w:ind w:left="1134" w:hanging="1134"/>
        <w:jc w:val="center"/>
        <w:rPr>
          <w:rFonts w:ascii="Arial" w:hAnsi="Arial" w:cs="Arial"/>
          <w:b/>
          <w:bCs/>
          <w:u w:val="single"/>
        </w:rPr>
      </w:pPr>
      <w:r>
        <w:rPr>
          <w:rFonts w:ascii="Arial" w:hAnsi="Arial" w:cs="Arial"/>
          <w:b/>
          <w:bCs/>
          <w:u w:val="single"/>
        </w:rPr>
        <w:t>INGENIERO TÉCNICO EN TOPOGRAFÍA</w:t>
      </w:r>
    </w:p>
    <w:p w:rsidR="00973461" w:rsidRDefault="00973461" w:rsidP="00FC3EBC">
      <w:pPr>
        <w:spacing w:before="120" w:after="0" w:line="240" w:lineRule="auto"/>
        <w:ind w:left="1134" w:hanging="1134"/>
        <w:jc w:val="center"/>
        <w:rPr>
          <w:rFonts w:ascii="Arial" w:hAnsi="Arial" w:cs="Arial"/>
          <w:b/>
          <w:bCs/>
          <w:u w:val="single"/>
        </w:rPr>
      </w:pPr>
    </w:p>
    <w:p w:rsidR="00973461" w:rsidRDefault="00973461" w:rsidP="00FC3EBC">
      <w:pPr>
        <w:spacing w:before="120" w:after="0" w:line="240" w:lineRule="auto"/>
        <w:ind w:left="1134" w:hanging="1134"/>
        <w:jc w:val="center"/>
        <w:rPr>
          <w:rFonts w:ascii="Arial" w:hAnsi="Arial" w:cs="Arial"/>
          <w:b/>
          <w:bCs/>
          <w:u w:val="single"/>
        </w:rPr>
      </w:pPr>
      <w:r w:rsidRPr="003506E3">
        <w:rPr>
          <w:rFonts w:ascii="Arial" w:hAnsi="Arial" w:cs="Arial"/>
          <w:b/>
          <w:bCs/>
          <w:u w:val="single"/>
        </w:rPr>
        <w:t>MATERIAS ESPECÍFICAS</w:t>
      </w:r>
    </w:p>
    <w:p w:rsidR="00973461" w:rsidRDefault="00973461" w:rsidP="00FC3EBC">
      <w:pPr>
        <w:spacing w:before="120" w:after="0" w:line="240" w:lineRule="auto"/>
        <w:ind w:left="1134" w:hanging="1134"/>
        <w:jc w:val="center"/>
        <w:rPr>
          <w:rFonts w:ascii="Arial" w:hAnsi="Arial" w:cs="Arial"/>
          <w:b/>
          <w:bCs/>
          <w:u w:val="single"/>
        </w:rPr>
      </w:pPr>
    </w:p>
    <w:p w:rsidR="00973461" w:rsidRDefault="00973461" w:rsidP="00FC3EBC">
      <w:pPr>
        <w:spacing w:before="120" w:after="0" w:line="240" w:lineRule="auto"/>
        <w:ind w:left="1134" w:hanging="1134"/>
        <w:jc w:val="center"/>
        <w:rPr>
          <w:rFonts w:ascii="Arial" w:hAnsi="Arial" w:cs="Arial"/>
          <w:b/>
          <w:bCs/>
          <w:u w:val="single"/>
        </w:rPr>
      </w:pPr>
    </w:p>
    <w:p w:rsidR="00973461" w:rsidRPr="0013009E" w:rsidRDefault="00973461" w:rsidP="0013009E">
      <w:pPr>
        <w:pStyle w:val="Prrafodelista"/>
        <w:numPr>
          <w:ilvl w:val="0"/>
          <w:numId w:val="8"/>
        </w:numPr>
        <w:spacing w:before="120"/>
        <w:ind w:left="1134" w:hanging="1134"/>
        <w:jc w:val="both"/>
        <w:rPr>
          <w:rFonts w:ascii="Arial" w:hAnsi="Arial" w:cs="Arial"/>
          <w:color w:val="000000"/>
          <w:sz w:val="18"/>
          <w:szCs w:val="18"/>
        </w:rPr>
      </w:pPr>
      <w:r w:rsidRPr="0013009E">
        <w:rPr>
          <w:rFonts w:ascii="Arial" w:hAnsi="Arial" w:cs="Arial"/>
          <w:color w:val="000000"/>
          <w:sz w:val="18"/>
          <w:szCs w:val="18"/>
        </w:rPr>
        <w:t xml:space="preserve">Teodolitos y taquímetros. Estaciones totales. </w:t>
      </w:r>
      <w:r>
        <w:rPr>
          <w:rFonts w:ascii="Arial" w:hAnsi="Arial" w:cs="Arial"/>
          <w:color w:val="000000"/>
          <w:sz w:val="18"/>
          <w:szCs w:val="18"/>
        </w:rPr>
        <w:t xml:space="preserve">Láser escáner. </w:t>
      </w:r>
      <w:r w:rsidRPr="0013009E">
        <w:rPr>
          <w:rFonts w:ascii="Arial" w:hAnsi="Arial" w:cs="Arial"/>
          <w:color w:val="000000"/>
          <w:sz w:val="18"/>
          <w:szCs w:val="18"/>
        </w:rPr>
        <w:t>Descripción.</w:t>
      </w:r>
    </w:p>
    <w:p w:rsidR="00973461" w:rsidRPr="0013009E" w:rsidRDefault="00973461" w:rsidP="0013009E">
      <w:pPr>
        <w:pStyle w:val="Prrafodelista"/>
        <w:numPr>
          <w:ilvl w:val="0"/>
          <w:numId w:val="8"/>
        </w:numPr>
        <w:spacing w:before="120"/>
        <w:ind w:left="1134" w:hanging="1134"/>
        <w:jc w:val="both"/>
        <w:rPr>
          <w:rFonts w:ascii="Arial" w:hAnsi="Arial" w:cs="Arial"/>
          <w:color w:val="000000"/>
          <w:sz w:val="18"/>
          <w:szCs w:val="18"/>
        </w:rPr>
      </w:pPr>
      <w:r w:rsidRPr="0013009E">
        <w:rPr>
          <w:rFonts w:ascii="Arial" w:hAnsi="Arial" w:cs="Arial"/>
          <w:color w:val="000000"/>
          <w:sz w:val="18"/>
          <w:szCs w:val="18"/>
        </w:rPr>
        <w:t xml:space="preserve">Figura de </w:t>
      </w:r>
      <w:smartTag w:uri="urn:schemas-microsoft-com:office:smarttags" w:element="PersonName">
        <w:smartTagPr>
          <w:attr w:name="ProductID" w:val="la Tierra. Geoide."/>
        </w:smartTagPr>
        <w:r w:rsidRPr="0013009E">
          <w:rPr>
            <w:rFonts w:ascii="Arial" w:hAnsi="Arial" w:cs="Arial"/>
            <w:color w:val="000000"/>
            <w:sz w:val="18"/>
            <w:szCs w:val="18"/>
          </w:rPr>
          <w:t>la Tierra. Geoide.</w:t>
        </w:r>
      </w:smartTag>
      <w:r w:rsidRPr="0013009E">
        <w:rPr>
          <w:rFonts w:ascii="Arial" w:hAnsi="Arial" w:cs="Arial"/>
          <w:color w:val="000000"/>
          <w:sz w:val="18"/>
          <w:szCs w:val="18"/>
        </w:rPr>
        <w:t xml:space="preserve"> Elipsoide. Desviación relativa de la vertical. Elipsoide </w:t>
      </w:r>
      <w:r>
        <w:rPr>
          <w:rFonts w:ascii="Arial" w:hAnsi="Arial" w:cs="Arial"/>
          <w:color w:val="000000"/>
          <w:sz w:val="18"/>
          <w:szCs w:val="18"/>
        </w:rPr>
        <w:t>de Hayford, elipsoide GRS80.</w:t>
      </w:r>
    </w:p>
    <w:p w:rsidR="00973461" w:rsidRPr="0013009E" w:rsidRDefault="00973461" w:rsidP="0013009E">
      <w:pPr>
        <w:pStyle w:val="Prrafodelista"/>
        <w:numPr>
          <w:ilvl w:val="0"/>
          <w:numId w:val="8"/>
        </w:numPr>
        <w:spacing w:before="120"/>
        <w:ind w:left="1134" w:hanging="1134"/>
        <w:jc w:val="both"/>
        <w:rPr>
          <w:rFonts w:ascii="Arial" w:hAnsi="Arial" w:cs="Arial"/>
          <w:color w:val="000000"/>
          <w:sz w:val="18"/>
          <w:szCs w:val="18"/>
        </w:rPr>
      </w:pPr>
      <w:r w:rsidRPr="0013009E">
        <w:rPr>
          <w:rFonts w:ascii="Arial" w:hAnsi="Arial" w:cs="Arial"/>
          <w:color w:val="000000"/>
          <w:sz w:val="18"/>
          <w:szCs w:val="18"/>
        </w:rPr>
        <w:t xml:space="preserve">Configuración y precisiones de las redes geodésicas españolas. Señalización. </w:t>
      </w:r>
      <w:r>
        <w:rPr>
          <w:rFonts w:ascii="Arial" w:hAnsi="Arial" w:cs="Arial"/>
          <w:color w:val="000000"/>
          <w:sz w:val="18"/>
          <w:szCs w:val="18"/>
        </w:rPr>
        <w:t>Red REGENTE, Red ERGNSS.</w:t>
      </w:r>
    </w:p>
    <w:p w:rsidR="00973461" w:rsidRPr="0013009E" w:rsidRDefault="00973461" w:rsidP="0013009E">
      <w:pPr>
        <w:pStyle w:val="Prrafodelista"/>
        <w:numPr>
          <w:ilvl w:val="0"/>
          <w:numId w:val="8"/>
        </w:numPr>
        <w:spacing w:before="120"/>
        <w:ind w:left="1134" w:hanging="1134"/>
        <w:jc w:val="both"/>
        <w:rPr>
          <w:rFonts w:ascii="Arial" w:hAnsi="Arial" w:cs="Arial"/>
          <w:color w:val="000000"/>
          <w:sz w:val="18"/>
          <w:szCs w:val="18"/>
        </w:rPr>
      </w:pPr>
      <w:r w:rsidRPr="0013009E">
        <w:rPr>
          <w:rFonts w:ascii="Arial" w:hAnsi="Arial" w:cs="Arial"/>
          <w:color w:val="000000"/>
          <w:sz w:val="18"/>
          <w:szCs w:val="18"/>
        </w:rPr>
        <w:t>Técnicas de medición de ángulos acimutales. Métodos usuales. Tipos de teodolitos geodésicos.</w:t>
      </w:r>
    </w:p>
    <w:p w:rsidR="00973461" w:rsidRPr="0013009E" w:rsidRDefault="00973461" w:rsidP="0013009E">
      <w:pPr>
        <w:pStyle w:val="Prrafodelista"/>
        <w:numPr>
          <w:ilvl w:val="0"/>
          <w:numId w:val="8"/>
        </w:numPr>
        <w:spacing w:before="120"/>
        <w:ind w:left="1134" w:hanging="1134"/>
        <w:jc w:val="both"/>
        <w:rPr>
          <w:rFonts w:ascii="Arial" w:hAnsi="Arial" w:cs="Arial"/>
          <w:color w:val="000000"/>
          <w:sz w:val="18"/>
          <w:szCs w:val="18"/>
        </w:rPr>
      </w:pPr>
      <w:r w:rsidRPr="0013009E">
        <w:rPr>
          <w:rFonts w:ascii="Arial" w:hAnsi="Arial" w:cs="Arial"/>
          <w:color w:val="000000"/>
          <w:sz w:val="18"/>
          <w:szCs w:val="18"/>
        </w:rPr>
        <w:t xml:space="preserve">Medida electro-óptica y electro-magnética de distancias. Reducción de medidas al elipsoide. Trilateración. </w:t>
      </w:r>
    </w:p>
    <w:p w:rsidR="00973461" w:rsidRPr="0013009E" w:rsidRDefault="00973461" w:rsidP="0013009E">
      <w:pPr>
        <w:pStyle w:val="Prrafodelista"/>
        <w:numPr>
          <w:ilvl w:val="0"/>
          <w:numId w:val="8"/>
        </w:numPr>
        <w:spacing w:before="120"/>
        <w:ind w:left="1134" w:hanging="1134"/>
        <w:jc w:val="both"/>
        <w:rPr>
          <w:rFonts w:ascii="Arial" w:hAnsi="Arial" w:cs="Arial"/>
          <w:color w:val="000000"/>
          <w:sz w:val="18"/>
          <w:szCs w:val="18"/>
        </w:rPr>
      </w:pPr>
      <w:r w:rsidRPr="0013009E">
        <w:rPr>
          <w:rFonts w:ascii="Arial" w:hAnsi="Arial" w:cs="Arial"/>
          <w:color w:val="000000"/>
          <w:sz w:val="18"/>
          <w:szCs w:val="18"/>
        </w:rPr>
        <w:t>Influencia de la esfericidad terrestre en planimetría y altimetría. Proyección topográfica. Escalas. Límite de percepción visual y su relación con la escala.</w:t>
      </w:r>
    </w:p>
    <w:p w:rsidR="00973461" w:rsidRPr="0013009E" w:rsidRDefault="00973461" w:rsidP="0013009E">
      <w:pPr>
        <w:pStyle w:val="Prrafodelista"/>
        <w:numPr>
          <w:ilvl w:val="0"/>
          <w:numId w:val="8"/>
        </w:numPr>
        <w:spacing w:before="120"/>
        <w:ind w:left="1134" w:hanging="1134"/>
        <w:jc w:val="both"/>
        <w:rPr>
          <w:rFonts w:ascii="Arial" w:hAnsi="Arial" w:cs="Arial"/>
          <w:color w:val="000000"/>
          <w:sz w:val="18"/>
          <w:szCs w:val="18"/>
        </w:rPr>
      </w:pPr>
      <w:r w:rsidRPr="0013009E">
        <w:rPr>
          <w:rFonts w:ascii="Arial" w:hAnsi="Arial" w:cs="Arial"/>
          <w:color w:val="000000"/>
          <w:sz w:val="18"/>
          <w:szCs w:val="18"/>
        </w:rPr>
        <w:t>Triangulación.</w:t>
      </w:r>
      <w:r>
        <w:rPr>
          <w:rFonts w:ascii="Arial" w:hAnsi="Arial" w:cs="Arial"/>
          <w:color w:val="000000"/>
          <w:sz w:val="18"/>
          <w:szCs w:val="18"/>
        </w:rPr>
        <w:t xml:space="preserve"> Concepto. </w:t>
      </w:r>
      <w:r w:rsidRPr="0013009E">
        <w:rPr>
          <w:rFonts w:ascii="Arial" w:hAnsi="Arial" w:cs="Arial"/>
          <w:color w:val="000000"/>
          <w:sz w:val="18"/>
          <w:szCs w:val="18"/>
        </w:rPr>
        <w:t xml:space="preserve">Apoyo en </w:t>
      </w:r>
      <w:smartTag w:uri="urn:schemas-microsoft-com:office:smarttags" w:element="PersonName">
        <w:smartTagPr>
          <w:attr w:name="ProductID" w:val="la Red Geodésica."/>
        </w:smartTagPr>
        <w:r w:rsidRPr="0013009E">
          <w:rPr>
            <w:rFonts w:ascii="Arial" w:hAnsi="Arial" w:cs="Arial"/>
            <w:color w:val="000000"/>
            <w:sz w:val="18"/>
            <w:szCs w:val="18"/>
          </w:rPr>
          <w:t>la Red Geodésica</w:t>
        </w:r>
        <w:r>
          <w:rPr>
            <w:rFonts w:ascii="Arial" w:hAnsi="Arial" w:cs="Arial"/>
            <w:color w:val="000000"/>
            <w:sz w:val="18"/>
            <w:szCs w:val="18"/>
          </w:rPr>
          <w:t>.</w:t>
        </w:r>
      </w:smartTag>
      <w:r>
        <w:rPr>
          <w:rFonts w:ascii="Arial" w:hAnsi="Arial" w:cs="Arial"/>
          <w:color w:val="000000"/>
          <w:sz w:val="18"/>
          <w:szCs w:val="18"/>
        </w:rPr>
        <w:t xml:space="preserve"> Proyecto de una triangulación</w:t>
      </w:r>
      <w:r w:rsidRPr="0013009E">
        <w:rPr>
          <w:rFonts w:ascii="Arial" w:hAnsi="Arial" w:cs="Arial"/>
          <w:color w:val="000000"/>
          <w:sz w:val="18"/>
          <w:szCs w:val="18"/>
        </w:rPr>
        <w:t>.</w:t>
      </w:r>
      <w:r>
        <w:rPr>
          <w:rFonts w:ascii="Arial" w:hAnsi="Arial" w:cs="Arial"/>
          <w:color w:val="000000"/>
          <w:sz w:val="18"/>
          <w:szCs w:val="18"/>
        </w:rPr>
        <w:t xml:space="preserve"> Base de una triangulación. </w:t>
      </w:r>
      <w:r w:rsidRPr="0013009E">
        <w:rPr>
          <w:rFonts w:ascii="Arial" w:hAnsi="Arial" w:cs="Arial"/>
          <w:color w:val="000000"/>
          <w:sz w:val="18"/>
          <w:szCs w:val="18"/>
        </w:rPr>
        <w:t xml:space="preserve">Medición, orientación y ampliación de </w:t>
      </w:r>
      <w:r>
        <w:rPr>
          <w:rFonts w:ascii="Arial" w:hAnsi="Arial" w:cs="Arial"/>
          <w:color w:val="000000"/>
          <w:sz w:val="18"/>
          <w:szCs w:val="18"/>
        </w:rPr>
        <w:t>la base.</w:t>
      </w:r>
      <w:r w:rsidRPr="0013009E">
        <w:rPr>
          <w:rFonts w:ascii="Arial" w:hAnsi="Arial" w:cs="Arial"/>
          <w:color w:val="000000"/>
          <w:sz w:val="18"/>
          <w:szCs w:val="18"/>
        </w:rPr>
        <w:t xml:space="preserve"> Observación de la triangulación. </w:t>
      </w:r>
      <w:r>
        <w:rPr>
          <w:rFonts w:ascii="Arial" w:hAnsi="Arial" w:cs="Arial"/>
          <w:color w:val="000000"/>
          <w:sz w:val="18"/>
          <w:szCs w:val="18"/>
        </w:rPr>
        <w:t>Estaciones</w:t>
      </w:r>
      <w:r w:rsidRPr="0013009E">
        <w:rPr>
          <w:rFonts w:ascii="Arial" w:hAnsi="Arial" w:cs="Arial"/>
          <w:color w:val="000000"/>
          <w:sz w:val="18"/>
          <w:szCs w:val="18"/>
        </w:rPr>
        <w:t xml:space="preserve"> excéntricas.</w:t>
      </w:r>
    </w:p>
    <w:p w:rsidR="00973461" w:rsidRPr="0013009E" w:rsidRDefault="00973461" w:rsidP="0013009E">
      <w:pPr>
        <w:pStyle w:val="Prrafodelista"/>
        <w:numPr>
          <w:ilvl w:val="0"/>
          <w:numId w:val="8"/>
        </w:numPr>
        <w:spacing w:before="120"/>
        <w:ind w:left="1134" w:hanging="1134"/>
        <w:jc w:val="both"/>
        <w:rPr>
          <w:rFonts w:ascii="Arial" w:hAnsi="Arial" w:cs="Arial"/>
          <w:color w:val="000000"/>
          <w:sz w:val="18"/>
          <w:szCs w:val="18"/>
        </w:rPr>
      </w:pPr>
      <w:r w:rsidRPr="0013009E">
        <w:rPr>
          <w:rFonts w:ascii="Arial" w:hAnsi="Arial" w:cs="Arial"/>
          <w:color w:val="000000"/>
          <w:sz w:val="18"/>
          <w:szCs w:val="18"/>
        </w:rPr>
        <w:t>Métodos modernos de medición de bases. Fundamentos de la medida electrónica de distancias.</w:t>
      </w:r>
      <w:r>
        <w:rPr>
          <w:rFonts w:ascii="Arial" w:hAnsi="Arial" w:cs="Arial"/>
          <w:color w:val="000000"/>
          <w:sz w:val="18"/>
          <w:szCs w:val="18"/>
        </w:rPr>
        <w:t xml:space="preserve"> Instrumentos utilizados. </w:t>
      </w:r>
      <w:r w:rsidRPr="0013009E">
        <w:rPr>
          <w:rFonts w:ascii="Arial" w:hAnsi="Arial" w:cs="Arial"/>
          <w:color w:val="000000"/>
          <w:sz w:val="18"/>
          <w:szCs w:val="18"/>
        </w:rPr>
        <w:t>Precisiones.</w:t>
      </w:r>
      <w:r>
        <w:rPr>
          <w:rFonts w:ascii="Arial" w:hAnsi="Arial" w:cs="Arial"/>
          <w:color w:val="000000"/>
          <w:sz w:val="18"/>
          <w:szCs w:val="18"/>
        </w:rPr>
        <w:t xml:space="preserve"> Errores.</w:t>
      </w:r>
      <w:r w:rsidRPr="0013009E">
        <w:rPr>
          <w:rFonts w:ascii="Arial" w:hAnsi="Arial" w:cs="Arial"/>
          <w:color w:val="000000"/>
          <w:sz w:val="18"/>
          <w:szCs w:val="18"/>
        </w:rPr>
        <w:t xml:space="preserve"> Ventajas e inconvenientes de cada tipo.</w:t>
      </w:r>
    </w:p>
    <w:p w:rsidR="00973461" w:rsidRPr="0013009E" w:rsidRDefault="00973461" w:rsidP="0013009E">
      <w:pPr>
        <w:pStyle w:val="Prrafodelista"/>
        <w:numPr>
          <w:ilvl w:val="0"/>
          <w:numId w:val="8"/>
        </w:numPr>
        <w:spacing w:before="120"/>
        <w:ind w:left="1134" w:hanging="1134"/>
        <w:jc w:val="both"/>
        <w:rPr>
          <w:rFonts w:ascii="Arial" w:hAnsi="Arial" w:cs="Arial"/>
          <w:color w:val="000000"/>
          <w:sz w:val="18"/>
          <w:szCs w:val="18"/>
        </w:rPr>
      </w:pPr>
      <w:r w:rsidRPr="0013009E">
        <w:rPr>
          <w:rFonts w:ascii="Arial" w:hAnsi="Arial" w:cs="Arial"/>
          <w:color w:val="000000"/>
          <w:sz w:val="18"/>
          <w:szCs w:val="18"/>
        </w:rPr>
        <w:t xml:space="preserve">Cálculo de una triangulación. </w:t>
      </w:r>
      <w:r>
        <w:rPr>
          <w:rFonts w:ascii="Arial" w:hAnsi="Arial" w:cs="Arial"/>
          <w:color w:val="000000"/>
          <w:sz w:val="18"/>
          <w:szCs w:val="18"/>
        </w:rPr>
        <w:t xml:space="preserve">Red topográfica. </w:t>
      </w:r>
      <w:r w:rsidRPr="0013009E">
        <w:rPr>
          <w:rFonts w:ascii="Arial" w:hAnsi="Arial" w:cs="Arial"/>
          <w:color w:val="000000"/>
          <w:sz w:val="18"/>
          <w:szCs w:val="18"/>
        </w:rPr>
        <w:t>Transporte de acimutes y coordenadas</w:t>
      </w:r>
      <w:r>
        <w:rPr>
          <w:rFonts w:ascii="Arial" w:hAnsi="Arial" w:cs="Arial"/>
          <w:color w:val="000000"/>
          <w:sz w:val="18"/>
          <w:szCs w:val="18"/>
        </w:rPr>
        <w:t>. Tolerancias y errores. Métodos de compensación.</w:t>
      </w:r>
    </w:p>
    <w:p w:rsidR="00973461" w:rsidRPr="0013009E" w:rsidRDefault="00973461" w:rsidP="0013009E">
      <w:pPr>
        <w:pStyle w:val="Prrafodelista"/>
        <w:numPr>
          <w:ilvl w:val="0"/>
          <w:numId w:val="8"/>
        </w:numPr>
        <w:spacing w:before="120"/>
        <w:ind w:left="1134" w:hanging="1134"/>
        <w:jc w:val="both"/>
        <w:rPr>
          <w:rFonts w:ascii="Arial" w:hAnsi="Arial" w:cs="Arial"/>
          <w:color w:val="000000"/>
          <w:sz w:val="18"/>
          <w:szCs w:val="18"/>
        </w:rPr>
      </w:pPr>
      <w:r w:rsidRPr="0013009E">
        <w:rPr>
          <w:rFonts w:ascii="Arial" w:hAnsi="Arial" w:cs="Arial"/>
          <w:color w:val="000000"/>
          <w:sz w:val="18"/>
          <w:szCs w:val="18"/>
        </w:rPr>
        <w:t>Trilateración topográfica.</w:t>
      </w:r>
      <w:r>
        <w:rPr>
          <w:rFonts w:ascii="Arial" w:hAnsi="Arial" w:cs="Arial"/>
          <w:color w:val="000000"/>
          <w:sz w:val="18"/>
          <w:szCs w:val="18"/>
        </w:rPr>
        <w:t xml:space="preserve"> Concepto.</w:t>
      </w:r>
      <w:r w:rsidRPr="0013009E">
        <w:rPr>
          <w:rFonts w:ascii="Arial" w:hAnsi="Arial" w:cs="Arial"/>
          <w:color w:val="000000"/>
          <w:sz w:val="18"/>
          <w:szCs w:val="18"/>
        </w:rPr>
        <w:t xml:space="preserve"> Observación. Cálculo. Compensación de errores.</w:t>
      </w:r>
    </w:p>
    <w:p w:rsidR="00973461" w:rsidRPr="0013009E" w:rsidRDefault="00973461" w:rsidP="0013009E">
      <w:pPr>
        <w:pStyle w:val="Prrafodelista"/>
        <w:numPr>
          <w:ilvl w:val="0"/>
          <w:numId w:val="8"/>
        </w:numPr>
        <w:spacing w:before="120"/>
        <w:ind w:left="1134" w:hanging="1134"/>
        <w:jc w:val="both"/>
        <w:rPr>
          <w:rFonts w:ascii="Arial" w:hAnsi="Arial" w:cs="Arial"/>
          <w:color w:val="000000"/>
          <w:sz w:val="18"/>
          <w:szCs w:val="18"/>
        </w:rPr>
      </w:pPr>
      <w:r w:rsidRPr="0013009E">
        <w:rPr>
          <w:rFonts w:ascii="Arial" w:hAnsi="Arial" w:cs="Arial"/>
          <w:color w:val="000000"/>
          <w:sz w:val="18"/>
          <w:szCs w:val="18"/>
        </w:rPr>
        <w:t>Intersección directa. Métodos</w:t>
      </w:r>
      <w:r>
        <w:rPr>
          <w:rFonts w:ascii="Arial" w:hAnsi="Arial" w:cs="Arial"/>
          <w:color w:val="000000"/>
          <w:sz w:val="18"/>
          <w:szCs w:val="18"/>
        </w:rPr>
        <w:t>. Errores. Compensación.</w:t>
      </w:r>
    </w:p>
    <w:p w:rsidR="00973461" w:rsidRPr="0013009E" w:rsidRDefault="00973461" w:rsidP="0013009E">
      <w:pPr>
        <w:pStyle w:val="Prrafodelista"/>
        <w:numPr>
          <w:ilvl w:val="0"/>
          <w:numId w:val="8"/>
        </w:numPr>
        <w:spacing w:before="120"/>
        <w:ind w:left="1134" w:hanging="1134"/>
        <w:jc w:val="both"/>
        <w:rPr>
          <w:rFonts w:ascii="Arial" w:hAnsi="Arial" w:cs="Arial"/>
          <w:color w:val="000000"/>
          <w:sz w:val="18"/>
          <w:szCs w:val="18"/>
        </w:rPr>
      </w:pPr>
      <w:r w:rsidRPr="0013009E">
        <w:rPr>
          <w:rFonts w:ascii="Arial" w:hAnsi="Arial" w:cs="Arial"/>
          <w:color w:val="000000"/>
          <w:sz w:val="18"/>
          <w:szCs w:val="18"/>
        </w:rPr>
        <w:t>Intersección inversa. Métodos de cálculo. Selección de direcciones. Compensación.</w:t>
      </w:r>
    </w:p>
    <w:p w:rsidR="00973461" w:rsidRPr="0013009E" w:rsidRDefault="00973461" w:rsidP="0013009E">
      <w:pPr>
        <w:pStyle w:val="Prrafodelista"/>
        <w:numPr>
          <w:ilvl w:val="0"/>
          <w:numId w:val="8"/>
        </w:numPr>
        <w:spacing w:before="120"/>
        <w:ind w:left="1134" w:hanging="1134"/>
        <w:jc w:val="both"/>
        <w:rPr>
          <w:rFonts w:ascii="Arial" w:hAnsi="Arial" w:cs="Arial"/>
          <w:color w:val="000000"/>
          <w:sz w:val="18"/>
          <w:szCs w:val="18"/>
        </w:rPr>
      </w:pPr>
      <w:r w:rsidRPr="0013009E">
        <w:rPr>
          <w:rFonts w:ascii="Arial" w:hAnsi="Arial" w:cs="Arial"/>
          <w:color w:val="000000"/>
          <w:sz w:val="18"/>
          <w:szCs w:val="18"/>
        </w:rPr>
        <w:t>Intersección mixta. Métodos de cálculo. Compensación.</w:t>
      </w:r>
    </w:p>
    <w:p w:rsidR="00973461" w:rsidRPr="0013009E" w:rsidRDefault="00973461" w:rsidP="004C359E">
      <w:pPr>
        <w:pStyle w:val="Prrafodelista"/>
        <w:numPr>
          <w:ilvl w:val="0"/>
          <w:numId w:val="8"/>
        </w:numPr>
        <w:spacing w:before="120"/>
        <w:ind w:left="1134" w:hanging="1134"/>
        <w:jc w:val="both"/>
        <w:rPr>
          <w:rFonts w:ascii="Arial" w:hAnsi="Arial" w:cs="Arial"/>
          <w:color w:val="000000"/>
          <w:sz w:val="18"/>
          <w:szCs w:val="18"/>
        </w:rPr>
      </w:pPr>
      <w:r w:rsidRPr="0013009E">
        <w:rPr>
          <w:rFonts w:ascii="Arial" w:hAnsi="Arial" w:cs="Arial"/>
          <w:color w:val="000000"/>
          <w:sz w:val="18"/>
          <w:szCs w:val="18"/>
        </w:rPr>
        <w:t>Compensación por mínimos cuadrados. Fundamento. Método paramétrico. Método de variación de coordenadas. Matriz de varianza-covarianza.</w:t>
      </w:r>
    </w:p>
    <w:p w:rsidR="00973461" w:rsidRPr="0013009E" w:rsidRDefault="00973461" w:rsidP="0013009E">
      <w:pPr>
        <w:pStyle w:val="Prrafodelista"/>
        <w:numPr>
          <w:ilvl w:val="0"/>
          <w:numId w:val="8"/>
        </w:numPr>
        <w:spacing w:before="120"/>
        <w:ind w:left="1134" w:hanging="1134"/>
        <w:jc w:val="both"/>
        <w:rPr>
          <w:rFonts w:ascii="Arial" w:hAnsi="Arial" w:cs="Arial"/>
          <w:color w:val="000000"/>
          <w:sz w:val="18"/>
          <w:szCs w:val="18"/>
        </w:rPr>
      </w:pPr>
      <w:r w:rsidRPr="0013009E">
        <w:rPr>
          <w:rFonts w:ascii="Arial" w:hAnsi="Arial" w:cs="Arial"/>
          <w:color w:val="000000"/>
          <w:sz w:val="18"/>
          <w:szCs w:val="18"/>
        </w:rPr>
        <w:t>Nivelación trigonométrica a grandes distancias. Corrección de esfericidad y refracción. Cálculo de desniveles por observaciones recíprocas y simultáneas.</w:t>
      </w:r>
    </w:p>
    <w:p w:rsidR="00973461" w:rsidRPr="0013009E" w:rsidRDefault="00973461" w:rsidP="0013009E">
      <w:pPr>
        <w:pStyle w:val="Prrafodelista"/>
        <w:numPr>
          <w:ilvl w:val="0"/>
          <w:numId w:val="8"/>
        </w:numPr>
        <w:spacing w:before="120"/>
        <w:ind w:left="1134" w:hanging="1134"/>
        <w:jc w:val="both"/>
        <w:rPr>
          <w:rFonts w:ascii="Arial" w:hAnsi="Arial" w:cs="Arial"/>
          <w:color w:val="000000"/>
          <w:sz w:val="18"/>
          <w:szCs w:val="18"/>
        </w:rPr>
      </w:pPr>
      <w:r w:rsidRPr="0013009E">
        <w:rPr>
          <w:rFonts w:ascii="Arial" w:hAnsi="Arial" w:cs="Arial"/>
          <w:color w:val="000000"/>
          <w:sz w:val="18"/>
          <w:szCs w:val="18"/>
        </w:rPr>
        <w:t>Nivelación por alturas. Métodos especiales de nivelación por alturas. Errores, tolerancia y compensación.</w:t>
      </w:r>
    </w:p>
    <w:p w:rsidR="00973461" w:rsidRPr="0013009E" w:rsidRDefault="00973461" w:rsidP="0013009E">
      <w:pPr>
        <w:pStyle w:val="Prrafodelista"/>
        <w:numPr>
          <w:ilvl w:val="0"/>
          <w:numId w:val="8"/>
        </w:numPr>
        <w:spacing w:before="120"/>
        <w:ind w:left="1134" w:hanging="1134"/>
        <w:jc w:val="both"/>
        <w:rPr>
          <w:rFonts w:ascii="Arial" w:hAnsi="Arial" w:cs="Arial"/>
          <w:color w:val="000000"/>
          <w:sz w:val="18"/>
          <w:szCs w:val="18"/>
        </w:rPr>
      </w:pPr>
      <w:r w:rsidRPr="0013009E">
        <w:rPr>
          <w:rFonts w:ascii="Arial" w:hAnsi="Arial" w:cs="Arial"/>
          <w:color w:val="000000"/>
          <w:sz w:val="18"/>
          <w:szCs w:val="18"/>
        </w:rPr>
        <w:t xml:space="preserve">Poligonales taquimétricas. </w:t>
      </w:r>
      <w:r>
        <w:rPr>
          <w:rFonts w:ascii="Arial" w:hAnsi="Arial" w:cs="Arial"/>
          <w:color w:val="000000"/>
          <w:sz w:val="18"/>
          <w:szCs w:val="18"/>
        </w:rPr>
        <w:t>Tipos. Métodos de observación</w:t>
      </w:r>
      <w:r w:rsidRPr="0013009E">
        <w:rPr>
          <w:rFonts w:ascii="Arial" w:hAnsi="Arial" w:cs="Arial"/>
          <w:color w:val="000000"/>
          <w:sz w:val="18"/>
          <w:szCs w:val="18"/>
        </w:rPr>
        <w:t>. Errores de observación.</w:t>
      </w:r>
    </w:p>
    <w:p w:rsidR="00973461" w:rsidRPr="0013009E" w:rsidRDefault="00973461" w:rsidP="0013009E">
      <w:pPr>
        <w:pStyle w:val="Prrafodelista"/>
        <w:numPr>
          <w:ilvl w:val="0"/>
          <w:numId w:val="8"/>
        </w:numPr>
        <w:spacing w:before="120"/>
        <w:ind w:left="1134" w:hanging="1134"/>
        <w:jc w:val="both"/>
        <w:rPr>
          <w:rFonts w:ascii="Arial" w:hAnsi="Arial" w:cs="Arial"/>
          <w:color w:val="000000"/>
          <w:sz w:val="18"/>
          <w:szCs w:val="18"/>
        </w:rPr>
      </w:pPr>
      <w:r w:rsidRPr="0013009E">
        <w:rPr>
          <w:rFonts w:ascii="Arial" w:hAnsi="Arial" w:cs="Arial"/>
          <w:color w:val="000000"/>
          <w:sz w:val="18"/>
          <w:szCs w:val="18"/>
        </w:rPr>
        <w:t>Cálcul</w:t>
      </w:r>
      <w:r>
        <w:rPr>
          <w:rFonts w:ascii="Arial" w:hAnsi="Arial" w:cs="Arial"/>
          <w:color w:val="000000"/>
          <w:sz w:val="18"/>
          <w:szCs w:val="18"/>
        </w:rPr>
        <w:t>o planimétrico de una poligonal:</w:t>
      </w:r>
      <w:r w:rsidRPr="0013009E">
        <w:rPr>
          <w:rFonts w:ascii="Arial" w:hAnsi="Arial" w:cs="Arial"/>
          <w:color w:val="000000"/>
          <w:sz w:val="18"/>
          <w:szCs w:val="18"/>
        </w:rPr>
        <w:t xml:space="preserve"> Transporte de acimutes</w:t>
      </w:r>
      <w:r>
        <w:rPr>
          <w:rFonts w:ascii="Arial" w:hAnsi="Arial" w:cs="Arial"/>
          <w:color w:val="000000"/>
          <w:sz w:val="18"/>
          <w:szCs w:val="18"/>
        </w:rPr>
        <w:t xml:space="preserve">. Tolerancia y compensación del error de cierre angular. Cálculo de </w:t>
      </w:r>
      <w:r w:rsidRPr="0013009E">
        <w:rPr>
          <w:rFonts w:ascii="Arial" w:hAnsi="Arial" w:cs="Arial"/>
          <w:color w:val="000000"/>
          <w:sz w:val="18"/>
          <w:szCs w:val="18"/>
        </w:rPr>
        <w:t>coordenadas. Errores</w:t>
      </w:r>
      <w:r>
        <w:rPr>
          <w:rFonts w:ascii="Arial" w:hAnsi="Arial" w:cs="Arial"/>
          <w:color w:val="000000"/>
          <w:sz w:val="18"/>
          <w:szCs w:val="18"/>
        </w:rPr>
        <w:t>,</w:t>
      </w:r>
      <w:r w:rsidRPr="0013009E">
        <w:rPr>
          <w:rFonts w:ascii="Arial" w:hAnsi="Arial" w:cs="Arial"/>
          <w:color w:val="000000"/>
          <w:sz w:val="18"/>
          <w:szCs w:val="18"/>
        </w:rPr>
        <w:t xml:space="preserve"> </w:t>
      </w:r>
      <w:r>
        <w:rPr>
          <w:rFonts w:ascii="Arial" w:hAnsi="Arial" w:cs="Arial"/>
          <w:color w:val="000000"/>
          <w:sz w:val="18"/>
          <w:szCs w:val="18"/>
        </w:rPr>
        <w:t>t</w:t>
      </w:r>
      <w:r w:rsidRPr="0013009E">
        <w:rPr>
          <w:rFonts w:ascii="Arial" w:hAnsi="Arial" w:cs="Arial"/>
          <w:color w:val="000000"/>
          <w:sz w:val="18"/>
          <w:szCs w:val="18"/>
        </w:rPr>
        <w:t>olerancia</w:t>
      </w:r>
      <w:r>
        <w:rPr>
          <w:rFonts w:ascii="Arial" w:hAnsi="Arial" w:cs="Arial"/>
          <w:color w:val="000000"/>
          <w:sz w:val="18"/>
          <w:szCs w:val="18"/>
        </w:rPr>
        <w:t xml:space="preserve"> y c</w:t>
      </w:r>
      <w:r w:rsidRPr="0013009E">
        <w:rPr>
          <w:rFonts w:ascii="Arial" w:hAnsi="Arial" w:cs="Arial"/>
          <w:color w:val="000000"/>
          <w:sz w:val="18"/>
          <w:szCs w:val="18"/>
        </w:rPr>
        <w:t xml:space="preserve">ompensación. Cálculo altimétrico: </w:t>
      </w:r>
      <w:r>
        <w:rPr>
          <w:rFonts w:ascii="Arial" w:hAnsi="Arial" w:cs="Arial"/>
          <w:color w:val="000000"/>
          <w:sz w:val="18"/>
          <w:szCs w:val="18"/>
        </w:rPr>
        <w:t>t</w:t>
      </w:r>
      <w:r w:rsidRPr="0013009E">
        <w:rPr>
          <w:rFonts w:ascii="Arial" w:hAnsi="Arial" w:cs="Arial"/>
          <w:color w:val="000000"/>
          <w:sz w:val="18"/>
          <w:szCs w:val="18"/>
        </w:rPr>
        <w:t>olerancia</w:t>
      </w:r>
      <w:r>
        <w:rPr>
          <w:rFonts w:ascii="Arial" w:hAnsi="Arial" w:cs="Arial"/>
          <w:color w:val="000000"/>
          <w:sz w:val="18"/>
          <w:szCs w:val="18"/>
        </w:rPr>
        <w:t xml:space="preserve"> y c</w:t>
      </w:r>
      <w:r w:rsidRPr="0013009E">
        <w:rPr>
          <w:rFonts w:ascii="Arial" w:hAnsi="Arial" w:cs="Arial"/>
          <w:color w:val="000000"/>
          <w:sz w:val="18"/>
          <w:szCs w:val="18"/>
        </w:rPr>
        <w:t>ompensación.</w:t>
      </w:r>
    </w:p>
    <w:p w:rsidR="00973461" w:rsidRPr="0013009E" w:rsidRDefault="00973461" w:rsidP="0013009E">
      <w:pPr>
        <w:pStyle w:val="Prrafodelista"/>
        <w:numPr>
          <w:ilvl w:val="0"/>
          <w:numId w:val="8"/>
        </w:numPr>
        <w:spacing w:before="120"/>
        <w:ind w:left="1134" w:hanging="1134"/>
        <w:jc w:val="both"/>
        <w:rPr>
          <w:rFonts w:ascii="Arial" w:hAnsi="Arial" w:cs="Arial"/>
          <w:color w:val="000000"/>
          <w:sz w:val="18"/>
          <w:szCs w:val="18"/>
        </w:rPr>
      </w:pPr>
      <w:r w:rsidRPr="0013009E">
        <w:rPr>
          <w:rFonts w:ascii="Arial" w:hAnsi="Arial" w:cs="Arial"/>
          <w:color w:val="000000"/>
          <w:sz w:val="18"/>
          <w:szCs w:val="18"/>
        </w:rPr>
        <w:lastRenderedPageBreak/>
        <w:t>Método de radiación. Criterios de aplicación. Errores que se cometen.</w:t>
      </w:r>
    </w:p>
    <w:p w:rsidR="00973461" w:rsidRPr="0013009E" w:rsidRDefault="00973461" w:rsidP="0013009E">
      <w:pPr>
        <w:pStyle w:val="Prrafodelista"/>
        <w:numPr>
          <w:ilvl w:val="0"/>
          <w:numId w:val="8"/>
        </w:numPr>
        <w:spacing w:before="120"/>
        <w:ind w:left="1134" w:hanging="1134"/>
        <w:jc w:val="both"/>
        <w:rPr>
          <w:rFonts w:ascii="Arial" w:hAnsi="Arial" w:cs="Arial"/>
          <w:color w:val="000000"/>
          <w:sz w:val="18"/>
          <w:szCs w:val="18"/>
        </w:rPr>
      </w:pPr>
      <w:r w:rsidRPr="0013009E">
        <w:rPr>
          <w:rFonts w:ascii="Arial" w:hAnsi="Arial" w:cs="Arial"/>
          <w:color w:val="000000"/>
          <w:sz w:val="18"/>
          <w:szCs w:val="18"/>
        </w:rPr>
        <w:t>Desarrollo de un proyecto de ingeniería desde el punto de vista topográfico: estudios previos, anteproyecto, proyecto, ejecución, construcción, conservación y control dimensional.</w:t>
      </w:r>
    </w:p>
    <w:p w:rsidR="00973461" w:rsidRPr="0013009E" w:rsidRDefault="00973461" w:rsidP="0013009E">
      <w:pPr>
        <w:pStyle w:val="Prrafodelista"/>
        <w:numPr>
          <w:ilvl w:val="0"/>
          <w:numId w:val="8"/>
        </w:numPr>
        <w:spacing w:before="120"/>
        <w:ind w:left="1134" w:hanging="1134"/>
        <w:jc w:val="both"/>
        <w:rPr>
          <w:rFonts w:ascii="Arial" w:hAnsi="Arial" w:cs="Arial"/>
          <w:color w:val="000000"/>
          <w:sz w:val="18"/>
          <w:szCs w:val="18"/>
        </w:rPr>
      </w:pPr>
      <w:r w:rsidRPr="0013009E">
        <w:rPr>
          <w:rFonts w:ascii="Arial" w:hAnsi="Arial" w:cs="Arial"/>
          <w:color w:val="000000"/>
          <w:sz w:val="18"/>
          <w:szCs w:val="18"/>
        </w:rPr>
        <w:t>Métodos de replanteo en planimetría: descripción, análisis, errores, ventajas e inconvenientes de cada método.</w:t>
      </w:r>
    </w:p>
    <w:p w:rsidR="00973461" w:rsidRPr="0013009E" w:rsidRDefault="00973461" w:rsidP="0013009E">
      <w:pPr>
        <w:pStyle w:val="Prrafodelista"/>
        <w:numPr>
          <w:ilvl w:val="0"/>
          <w:numId w:val="8"/>
        </w:numPr>
        <w:spacing w:before="120"/>
        <w:ind w:left="1134" w:hanging="1134"/>
        <w:jc w:val="both"/>
        <w:rPr>
          <w:rFonts w:ascii="Arial" w:hAnsi="Arial" w:cs="Arial"/>
          <w:color w:val="000000"/>
          <w:sz w:val="18"/>
          <w:szCs w:val="18"/>
        </w:rPr>
      </w:pPr>
      <w:r w:rsidRPr="0013009E">
        <w:rPr>
          <w:rFonts w:ascii="Arial" w:hAnsi="Arial" w:cs="Arial"/>
          <w:color w:val="000000"/>
          <w:sz w:val="18"/>
          <w:szCs w:val="18"/>
        </w:rPr>
        <w:t>Métodos de replanteo en altimetría: replanteo de rasantes, taludes y zanjas.</w:t>
      </w:r>
    </w:p>
    <w:p w:rsidR="00973461" w:rsidRPr="0013009E" w:rsidRDefault="00973461" w:rsidP="0013009E">
      <w:pPr>
        <w:pStyle w:val="Prrafodelista"/>
        <w:numPr>
          <w:ilvl w:val="0"/>
          <w:numId w:val="8"/>
        </w:numPr>
        <w:spacing w:before="120"/>
        <w:ind w:left="1134" w:hanging="1134"/>
        <w:jc w:val="both"/>
        <w:rPr>
          <w:rFonts w:ascii="Arial" w:hAnsi="Arial" w:cs="Arial"/>
          <w:color w:val="000000"/>
          <w:sz w:val="18"/>
          <w:szCs w:val="18"/>
        </w:rPr>
      </w:pPr>
      <w:r w:rsidRPr="0013009E">
        <w:rPr>
          <w:rFonts w:ascii="Arial" w:hAnsi="Arial" w:cs="Arial"/>
          <w:color w:val="000000"/>
          <w:sz w:val="18"/>
          <w:szCs w:val="18"/>
        </w:rPr>
        <w:t>Mediciones y cubicaciones: tipos de mediciones. Métodos de cubicación.</w:t>
      </w:r>
    </w:p>
    <w:p w:rsidR="00973461" w:rsidRPr="0013009E" w:rsidRDefault="00973461" w:rsidP="0013009E">
      <w:pPr>
        <w:pStyle w:val="Prrafodelista"/>
        <w:numPr>
          <w:ilvl w:val="0"/>
          <w:numId w:val="8"/>
        </w:numPr>
        <w:spacing w:before="120"/>
        <w:ind w:left="1134" w:hanging="1134"/>
        <w:jc w:val="both"/>
        <w:rPr>
          <w:rFonts w:ascii="Arial" w:hAnsi="Arial" w:cs="Arial"/>
          <w:color w:val="000000"/>
          <w:sz w:val="18"/>
          <w:szCs w:val="18"/>
        </w:rPr>
      </w:pPr>
      <w:r w:rsidRPr="0013009E">
        <w:rPr>
          <w:rFonts w:ascii="Arial" w:hAnsi="Arial" w:cs="Arial"/>
          <w:color w:val="000000"/>
          <w:sz w:val="18"/>
          <w:szCs w:val="18"/>
        </w:rPr>
        <w:t xml:space="preserve">Plan de carreteras de Cantabria. Catalogación y clasificación de </w:t>
      </w:r>
      <w:smartTag w:uri="urn:schemas-microsoft-com:office:smarttags" w:element="PersonName">
        <w:smartTagPr>
          <w:attr w:name="ProductID" w:val="la Red"/>
        </w:smartTagPr>
        <w:r w:rsidRPr="0013009E">
          <w:rPr>
            <w:rFonts w:ascii="Arial" w:hAnsi="Arial" w:cs="Arial"/>
            <w:color w:val="000000"/>
            <w:sz w:val="18"/>
            <w:szCs w:val="18"/>
          </w:rPr>
          <w:t>la Red</w:t>
        </w:r>
      </w:smartTag>
      <w:r w:rsidRPr="0013009E">
        <w:rPr>
          <w:rFonts w:ascii="Arial" w:hAnsi="Arial" w:cs="Arial"/>
          <w:color w:val="000000"/>
          <w:sz w:val="18"/>
          <w:szCs w:val="18"/>
        </w:rPr>
        <w:t xml:space="preserve"> de Carreteras de Cantabria.</w:t>
      </w:r>
    </w:p>
    <w:p w:rsidR="00973461" w:rsidRPr="0013009E" w:rsidRDefault="00973461" w:rsidP="00B70CE3">
      <w:pPr>
        <w:pStyle w:val="Prrafodelista"/>
        <w:numPr>
          <w:ilvl w:val="0"/>
          <w:numId w:val="8"/>
        </w:numPr>
        <w:spacing w:before="120"/>
        <w:ind w:left="1134" w:hanging="1134"/>
        <w:jc w:val="both"/>
        <w:rPr>
          <w:rFonts w:ascii="Arial" w:hAnsi="Arial" w:cs="Arial"/>
          <w:color w:val="000000"/>
          <w:sz w:val="18"/>
          <w:szCs w:val="18"/>
        </w:rPr>
      </w:pPr>
      <w:r w:rsidRPr="0013009E">
        <w:rPr>
          <w:rFonts w:ascii="Arial" w:hAnsi="Arial" w:cs="Arial"/>
          <w:color w:val="000000"/>
          <w:sz w:val="18"/>
          <w:szCs w:val="18"/>
        </w:rPr>
        <w:t>Características geométricas de las carreteras. El trazado: planta, alzado y sección transversal. Intersecciones y enlaces. Replanteo.</w:t>
      </w:r>
    </w:p>
    <w:p w:rsidR="00973461" w:rsidRPr="0013009E" w:rsidRDefault="00973461" w:rsidP="00B70CE3">
      <w:pPr>
        <w:pStyle w:val="Prrafodelista"/>
        <w:numPr>
          <w:ilvl w:val="0"/>
          <w:numId w:val="8"/>
        </w:numPr>
        <w:spacing w:before="120"/>
        <w:ind w:left="1134" w:hanging="1134"/>
        <w:jc w:val="both"/>
        <w:rPr>
          <w:rFonts w:ascii="Arial" w:hAnsi="Arial" w:cs="Arial"/>
          <w:color w:val="000000"/>
          <w:sz w:val="18"/>
          <w:szCs w:val="18"/>
        </w:rPr>
      </w:pPr>
      <w:r>
        <w:rPr>
          <w:rFonts w:ascii="Arial" w:hAnsi="Arial" w:cs="Arial"/>
          <w:color w:val="000000"/>
          <w:sz w:val="18"/>
          <w:szCs w:val="18"/>
        </w:rPr>
        <w:t>Procedimiento de deslinde de Montes de Utilidad Pública (MUP). Descripción y fases. Trabajos topográficos necesarios.</w:t>
      </w:r>
    </w:p>
    <w:p w:rsidR="00973461" w:rsidRDefault="00973461" w:rsidP="0013009E">
      <w:pPr>
        <w:pStyle w:val="Prrafodelista"/>
        <w:numPr>
          <w:ilvl w:val="0"/>
          <w:numId w:val="8"/>
        </w:numPr>
        <w:spacing w:before="120"/>
        <w:ind w:left="1134" w:hanging="1134"/>
        <w:jc w:val="both"/>
        <w:rPr>
          <w:rFonts w:ascii="Arial" w:hAnsi="Arial" w:cs="Arial"/>
          <w:color w:val="000000"/>
          <w:sz w:val="18"/>
          <w:szCs w:val="18"/>
        </w:rPr>
      </w:pPr>
      <w:r>
        <w:rPr>
          <w:rFonts w:ascii="Arial" w:hAnsi="Arial" w:cs="Arial"/>
          <w:color w:val="000000"/>
          <w:sz w:val="18"/>
          <w:szCs w:val="18"/>
        </w:rPr>
        <w:t>Metodologías topográficas en los procesos de replanteo de líneas límite de MUP deslindados. Documentación disponible. Trabajos previos de oficina. Trabajo de campo. Ajuste final.</w:t>
      </w:r>
    </w:p>
    <w:p w:rsidR="00973461" w:rsidRPr="0013009E" w:rsidRDefault="00973461" w:rsidP="0013009E">
      <w:pPr>
        <w:pStyle w:val="Prrafodelista"/>
        <w:numPr>
          <w:ilvl w:val="0"/>
          <w:numId w:val="8"/>
        </w:numPr>
        <w:spacing w:before="120"/>
        <w:ind w:left="1134" w:hanging="1134"/>
        <w:jc w:val="both"/>
        <w:rPr>
          <w:rFonts w:ascii="Arial" w:hAnsi="Arial" w:cs="Arial"/>
          <w:color w:val="000000"/>
          <w:sz w:val="18"/>
          <w:szCs w:val="18"/>
        </w:rPr>
      </w:pPr>
      <w:r w:rsidRPr="0013009E">
        <w:rPr>
          <w:rFonts w:ascii="Arial" w:hAnsi="Arial" w:cs="Arial"/>
          <w:color w:val="000000"/>
          <w:sz w:val="18"/>
          <w:szCs w:val="18"/>
        </w:rPr>
        <w:t xml:space="preserve">Fotogrametría aérea con dos fotogramas. Orientación relativa. Métodos. Escala del modelo. </w:t>
      </w:r>
    </w:p>
    <w:p w:rsidR="00973461" w:rsidRPr="0013009E" w:rsidRDefault="00973461" w:rsidP="0013009E">
      <w:pPr>
        <w:pStyle w:val="Prrafodelista"/>
        <w:numPr>
          <w:ilvl w:val="0"/>
          <w:numId w:val="8"/>
        </w:numPr>
        <w:spacing w:before="120"/>
        <w:ind w:left="1134" w:hanging="1134"/>
        <w:jc w:val="both"/>
        <w:rPr>
          <w:rFonts w:ascii="Arial" w:hAnsi="Arial" w:cs="Arial"/>
          <w:color w:val="000000"/>
          <w:sz w:val="18"/>
          <w:szCs w:val="18"/>
        </w:rPr>
      </w:pPr>
      <w:r w:rsidRPr="0013009E">
        <w:rPr>
          <w:rFonts w:ascii="Arial" w:hAnsi="Arial" w:cs="Arial"/>
          <w:color w:val="000000"/>
          <w:sz w:val="18"/>
          <w:szCs w:val="18"/>
        </w:rPr>
        <w:t>Instrumentos de restitución. Distintas soluciones para la práctica de la restitución. Precisiones.</w:t>
      </w:r>
    </w:p>
    <w:p w:rsidR="00973461" w:rsidRPr="0013009E" w:rsidRDefault="00973461" w:rsidP="0013009E">
      <w:pPr>
        <w:pStyle w:val="Prrafodelista"/>
        <w:numPr>
          <w:ilvl w:val="0"/>
          <w:numId w:val="8"/>
        </w:numPr>
        <w:spacing w:before="120"/>
        <w:ind w:left="1134" w:hanging="1134"/>
        <w:jc w:val="both"/>
        <w:rPr>
          <w:rFonts w:ascii="Arial" w:hAnsi="Arial" w:cs="Arial"/>
          <w:color w:val="000000"/>
          <w:sz w:val="18"/>
          <w:szCs w:val="18"/>
        </w:rPr>
      </w:pPr>
      <w:r w:rsidRPr="0013009E">
        <w:rPr>
          <w:rFonts w:ascii="Arial" w:hAnsi="Arial" w:cs="Arial"/>
          <w:color w:val="000000"/>
          <w:sz w:val="18"/>
          <w:szCs w:val="18"/>
        </w:rPr>
        <w:t>Labor fundamental de un proyecto de vuelo. Recubrimientos. Escalas. Fórmula de Von Gruber. Errores medios altimétricos y planimétricos.</w:t>
      </w:r>
    </w:p>
    <w:p w:rsidR="00973461" w:rsidRPr="0013009E" w:rsidRDefault="00973461" w:rsidP="0013009E">
      <w:pPr>
        <w:pStyle w:val="Prrafodelista"/>
        <w:numPr>
          <w:ilvl w:val="0"/>
          <w:numId w:val="8"/>
        </w:numPr>
        <w:spacing w:before="120"/>
        <w:ind w:left="1134" w:hanging="1134"/>
        <w:jc w:val="both"/>
        <w:rPr>
          <w:rFonts w:ascii="Arial" w:hAnsi="Arial" w:cs="Arial"/>
          <w:color w:val="000000"/>
          <w:sz w:val="18"/>
          <w:szCs w:val="18"/>
        </w:rPr>
      </w:pPr>
      <w:r w:rsidRPr="0013009E">
        <w:rPr>
          <w:rFonts w:ascii="Arial" w:hAnsi="Arial" w:cs="Arial"/>
          <w:color w:val="000000"/>
          <w:sz w:val="18"/>
          <w:szCs w:val="18"/>
        </w:rPr>
        <w:t>Ortofotogrametría. Fundamento. Instrumentos. Aplicaciones.</w:t>
      </w:r>
      <w:r>
        <w:rPr>
          <w:rFonts w:ascii="Arial" w:hAnsi="Arial" w:cs="Arial"/>
          <w:color w:val="000000"/>
          <w:sz w:val="18"/>
          <w:szCs w:val="18"/>
        </w:rPr>
        <w:t xml:space="preserve"> </w:t>
      </w:r>
      <w:r w:rsidRPr="0013009E">
        <w:rPr>
          <w:rFonts w:ascii="Arial" w:hAnsi="Arial" w:cs="Arial"/>
          <w:color w:val="000000"/>
          <w:sz w:val="18"/>
          <w:szCs w:val="18"/>
        </w:rPr>
        <w:t>Ventajas e inconvenientes de los ortofotoplanos.</w:t>
      </w:r>
      <w:r>
        <w:rPr>
          <w:rFonts w:ascii="Arial" w:hAnsi="Arial" w:cs="Arial"/>
          <w:color w:val="000000"/>
          <w:sz w:val="18"/>
          <w:szCs w:val="18"/>
        </w:rPr>
        <w:t xml:space="preserve"> Plan Nacional de Ortofotografía Aérea (PNOA).</w:t>
      </w:r>
    </w:p>
    <w:p w:rsidR="00973461" w:rsidRPr="0013009E" w:rsidRDefault="00973461" w:rsidP="0013009E">
      <w:pPr>
        <w:pStyle w:val="Prrafodelista"/>
        <w:numPr>
          <w:ilvl w:val="0"/>
          <w:numId w:val="8"/>
        </w:numPr>
        <w:spacing w:before="120"/>
        <w:ind w:left="1134" w:hanging="1134"/>
        <w:jc w:val="both"/>
        <w:rPr>
          <w:rFonts w:ascii="Arial" w:hAnsi="Arial" w:cs="Arial"/>
          <w:color w:val="000000"/>
          <w:sz w:val="18"/>
          <w:szCs w:val="18"/>
        </w:rPr>
      </w:pPr>
      <w:r w:rsidRPr="0013009E">
        <w:rPr>
          <w:rFonts w:ascii="Arial" w:hAnsi="Arial" w:cs="Arial"/>
          <w:color w:val="000000"/>
          <w:sz w:val="18"/>
          <w:szCs w:val="18"/>
        </w:rPr>
        <w:t>Sistemas de proyección. Representación plana de la superficie terrestre.</w:t>
      </w:r>
      <w:r>
        <w:rPr>
          <w:rFonts w:ascii="Arial" w:hAnsi="Arial" w:cs="Arial"/>
          <w:color w:val="000000"/>
          <w:sz w:val="18"/>
          <w:szCs w:val="18"/>
        </w:rPr>
        <w:t xml:space="preserve"> </w:t>
      </w:r>
      <w:r w:rsidRPr="0013009E">
        <w:rPr>
          <w:rFonts w:ascii="Arial" w:hAnsi="Arial" w:cs="Arial"/>
          <w:color w:val="000000"/>
          <w:sz w:val="18"/>
          <w:szCs w:val="18"/>
        </w:rPr>
        <w:t>Teoría de las deformaciones. Alteraciones de ángulos, longitudes y superficies.</w:t>
      </w:r>
    </w:p>
    <w:p w:rsidR="00973461" w:rsidRPr="0013009E" w:rsidRDefault="00973461" w:rsidP="0013009E">
      <w:pPr>
        <w:pStyle w:val="Prrafodelista"/>
        <w:numPr>
          <w:ilvl w:val="0"/>
          <w:numId w:val="8"/>
        </w:numPr>
        <w:spacing w:before="120"/>
        <w:ind w:left="1134" w:hanging="1134"/>
        <w:jc w:val="both"/>
        <w:rPr>
          <w:rFonts w:ascii="Arial" w:hAnsi="Arial" w:cs="Arial"/>
          <w:color w:val="000000"/>
          <w:sz w:val="18"/>
          <w:szCs w:val="18"/>
        </w:rPr>
      </w:pPr>
      <w:r w:rsidRPr="0013009E">
        <w:rPr>
          <w:rFonts w:ascii="Arial" w:hAnsi="Arial" w:cs="Arial"/>
          <w:color w:val="000000"/>
          <w:sz w:val="18"/>
          <w:szCs w:val="18"/>
        </w:rPr>
        <w:t>Clasificación de las proyecciones a partir de propiedades geométricas generales. Proyecciones cónicas. Proyecciones cilíndricas.</w:t>
      </w:r>
    </w:p>
    <w:p w:rsidR="00973461" w:rsidRPr="0013009E" w:rsidRDefault="00973461" w:rsidP="0013009E">
      <w:pPr>
        <w:pStyle w:val="Prrafodelista"/>
        <w:numPr>
          <w:ilvl w:val="0"/>
          <w:numId w:val="8"/>
        </w:numPr>
        <w:spacing w:before="120"/>
        <w:ind w:left="1134" w:hanging="1134"/>
        <w:jc w:val="both"/>
        <w:rPr>
          <w:rFonts w:ascii="Arial" w:hAnsi="Arial" w:cs="Arial"/>
          <w:color w:val="000000"/>
          <w:sz w:val="18"/>
          <w:szCs w:val="18"/>
        </w:rPr>
      </w:pPr>
      <w:r w:rsidRPr="0013009E">
        <w:rPr>
          <w:rFonts w:ascii="Arial" w:hAnsi="Arial" w:cs="Arial"/>
          <w:color w:val="000000"/>
          <w:sz w:val="18"/>
          <w:szCs w:val="18"/>
        </w:rPr>
        <w:t>Proyección cónica conforme de Lambert. Proyección Lambert reglamentaria en España.</w:t>
      </w:r>
    </w:p>
    <w:p w:rsidR="00973461" w:rsidRPr="0013009E" w:rsidRDefault="00973461" w:rsidP="0013009E">
      <w:pPr>
        <w:pStyle w:val="Prrafodelista"/>
        <w:numPr>
          <w:ilvl w:val="0"/>
          <w:numId w:val="8"/>
        </w:numPr>
        <w:spacing w:before="120"/>
        <w:ind w:left="1134" w:hanging="1134"/>
        <w:jc w:val="both"/>
        <w:rPr>
          <w:rFonts w:ascii="Arial" w:hAnsi="Arial" w:cs="Arial"/>
          <w:color w:val="000000"/>
          <w:sz w:val="18"/>
          <w:szCs w:val="18"/>
        </w:rPr>
      </w:pPr>
      <w:r w:rsidRPr="0013009E">
        <w:rPr>
          <w:rFonts w:ascii="Arial" w:hAnsi="Arial" w:cs="Arial"/>
          <w:color w:val="000000"/>
          <w:sz w:val="18"/>
          <w:szCs w:val="18"/>
        </w:rPr>
        <w:t>Proyección Universal Transversa Mercator. Definición y características. Husos. Factor de escala.</w:t>
      </w:r>
      <w:r>
        <w:rPr>
          <w:rFonts w:ascii="Arial" w:hAnsi="Arial" w:cs="Arial"/>
          <w:color w:val="000000"/>
          <w:sz w:val="18"/>
          <w:szCs w:val="18"/>
        </w:rPr>
        <w:t xml:space="preserve"> Cuadrícula UTM.</w:t>
      </w:r>
    </w:p>
    <w:p w:rsidR="00973461" w:rsidRPr="00DA4116" w:rsidRDefault="00973461" w:rsidP="00117566">
      <w:pPr>
        <w:pStyle w:val="Prrafodelista"/>
        <w:numPr>
          <w:ilvl w:val="0"/>
          <w:numId w:val="8"/>
        </w:numPr>
        <w:spacing w:before="120"/>
        <w:ind w:left="1134" w:hanging="1134"/>
        <w:jc w:val="both"/>
        <w:rPr>
          <w:b/>
          <w:bCs/>
          <w:color w:val="000000"/>
          <w:sz w:val="18"/>
          <w:szCs w:val="18"/>
        </w:rPr>
      </w:pPr>
      <w:r>
        <w:rPr>
          <w:rFonts w:ascii="Arial" w:hAnsi="Arial" w:cs="Arial"/>
          <w:color w:val="000000"/>
          <w:sz w:val="18"/>
          <w:szCs w:val="18"/>
        </w:rPr>
        <w:t xml:space="preserve">Sistema de Referencia Oficial ETRS89. Antecedentes. </w:t>
      </w:r>
      <w:r w:rsidRPr="00117566">
        <w:rPr>
          <w:rFonts w:ascii="Arial" w:hAnsi="Arial" w:cs="Arial"/>
          <w:color w:val="000000"/>
          <w:sz w:val="18"/>
          <w:szCs w:val="18"/>
        </w:rPr>
        <w:t>Real Decreto 1071/2007</w:t>
      </w:r>
      <w:r>
        <w:rPr>
          <w:rFonts w:ascii="Arial" w:hAnsi="Arial" w:cs="Arial"/>
          <w:color w:val="000000"/>
          <w:sz w:val="18"/>
          <w:szCs w:val="18"/>
        </w:rPr>
        <w:t>. Mallas de transformación.</w:t>
      </w:r>
    </w:p>
    <w:p w:rsidR="00973461" w:rsidRPr="00117566" w:rsidRDefault="00973461" w:rsidP="00117566">
      <w:pPr>
        <w:pStyle w:val="Prrafodelista"/>
        <w:numPr>
          <w:ilvl w:val="0"/>
          <w:numId w:val="8"/>
        </w:numPr>
        <w:spacing w:before="120"/>
        <w:ind w:left="1134" w:hanging="1134"/>
        <w:jc w:val="both"/>
        <w:rPr>
          <w:b/>
          <w:bCs/>
          <w:color w:val="000000"/>
          <w:sz w:val="18"/>
          <w:szCs w:val="18"/>
        </w:rPr>
      </w:pPr>
      <w:r>
        <w:rPr>
          <w:rFonts w:ascii="Arial" w:hAnsi="Arial" w:cs="Arial"/>
          <w:color w:val="000000"/>
          <w:sz w:val="18"/>
          <w:szCs w:val="18"/>
        </w:rPr>
        <w:t>Modelo Geoidal español. Antecedentes. Adaptación al Sistema de Referencia Vertical en España. Precisión.</w:t>
      </w:r>
    </w:p>
    <w:p w:rsidR="00973461" w:rsidRDefault="00973461" w:rsidP="0013009E">
      <w:pPr>
        <w:pStyle w:val="Prrafodelista"/>
        <w:numPr>
          <w:ilvl w:val="0"/>
          <w:numId w:val="8"/>
        </w:numPr>
        <w:spacing w:before="120"/>
        <w:ind w:left="1134" w:hanging="1134"/>
        <w:jc w:val="both"/>
        <w:rPr>
          <w:rFonts w:ascii="Arial" w:hAnsi="Arial" w:cs="Arial"/>
          <w:color w:val="000000"/>
          <w:sz w:val="18"/>
          <w:szCs w:val="18"/>
        </w:rPr>
      </w:pPr>
      <w:r>
        <w:rPr>
          <w:rFonts w:ascii="Arial" w:hAnsi="Arial" w:cs="Arial"/>
          <w:color w:val="000000"/>
          <w:sz w:val="18"/>
          <w:szCs w:val="18"/>
        </w:rPr>
        <w:t>Base Topográfica Armonizada 1/5000. Introducción, Catálogo de fenómenos. Marco de Referencia. Calidad. Captura de datos.</w:t>
      </w:r>
    </w:p>
    <w:p w:rsidR="00973461" w:rsidRPr="0013009E" w:rsidRDefault="00973461" w:rsidP="0013009E">
      <w:pPr>
        <w:pStyle w:val="Prrafodelista"/>
        <w:numPr>
          <w:ilvl w:val="0"/>
          <w:numId w:val="8"/>
        </w:numPr>
        <w:spacing w:before="120"/>
        <w:ind w:left="1134" w:hanging="1134"/>
        <w:jc w:val="both"/>
        <w:rPr>
          <w:rFonts w:ascii="Arial" w:hAnsi="Arial" w:cs="Arial"/>
          <w:color w:val="000000"/>
          <w:sz w:val="18"/>
          <w:szCs w:val="18"/>
        </w:rPr>
      </w:pPr>
      <w:r>
        <w:rPr>
          <w:rFonts w:ascii="Arial" w:hAnsi="Arial" w:cs="Arial"/>
          <w:color w:val="000000"/>
          <w:sz w:val="18"/>
          <w:szCs w:val="18"/>
        </w:rPr>
        <w:t>Directiva INSPIRE. Antecedentes. Objetivos. Transposición al derecho español (LISIGE). Infraestructuras de Datos Espaciales. IDE Cantabria.</w:t>
      </w:r>
    </w:p>
    <w:p w:rsidR="00973461" w:rsidRPr="0013009E" w:rsidRDefault="00973461" w:rsidP="0013009E">
      <w:pPr>
        <w:pStyle w:val="Prrafodelista"/>
        <w:numPr>
          <w:ilvl w:val="0"/>
          <w:numId w:val="8"/>
        </w:numPr>
        <w:spacing w:before="120"/>
        <w:ind w:left="1134" w:hanging="1134"/>
        <w:jc w:val="both"/>
        <w:rPr>
          <w:rFonts w:ascii="Arial" w:hAnsi="Arial" w:cs="Arial"/>
          <w:color w:val="000000"/>
          <w:sz w:val="18"/>
          <w:szCs w:val="18"/>
        </w:rPr>
      </w:pPr>
      <w:r>
        <w:rPr>
          <w:rFonts w:ascii="Arial" w:hAnsi="Arial" w:cs="Arial"/>
          <w:color w:val="000000"/>
          <w:sz w:val="18"/>
          <w:szCs w:val="18"/>
        </w:rPr>
        <w:t>Metadatos. Definición. Metadatos INSPIRE. Reglamento. Nucleo español de metadatos. Herramientas y validadotes.</w:t>
      </w:r>
    </w:p>
    <w:p w:rsidR="00973461" w:rsidRPr="0013009E" w:rsidRDefault="00973461" w:rsidP="0013009E">
      <w:pPr>
        <w:pStyle w:val="Prrafodelista"/>
        <w:numPr>
          <w:ilvl w:val="0"/>
          <w:numId w:val="8"/>
        </w:numPr>
        <w:spacing w:before="120"/>
        <w:ind w:left="1134" w:hanging="1134"/>
        <w:jc w:val="both"/>
        <w:rPr>
          <w:rFonts w:ascii="Arial" w:hAnsi="Arial" w:cs="Arial"/>
          <w:color w:val="000000"/>
          <w:sz w:val="18"/>
          <w:szCs w:val="18"/>
        </w:rPr>
      </w:pPr>
      <w:r>
        <w:rPr>
          <w:rFonts w:ascii="Arial" w:hAnsi="Arial" w:cs="Arial"/>
          <w:color w:val="000000"/>
          <w:sz w:val="18"/>
          <w:szCs w:val="18"/>
        </w:rPr>
        <w:t>Toponimia Oficial. Términos básicos. Normativa y legislación. Nomenclator Geográfico. Interoperabilidad de datos. Nomenclator Geográfico Nacional. Nomenclator Geográfico Básico de España.</w:t>
      </w:r>
    </w:p>
    <w:p w:rsidR="00973461" w:rsidRPr="0013009E" w:rsidRDefault="00973461" w:rsidP="0013009E">
      <w:pPr>
        <w:pStyle w:val="Prrafodelista"/>
        <w:numPr>
          <w:ilvl w:val="0"/>
          <w:numId w:val="8"/>
        </w:numPr>
        <w:spacing w:before="120"/>
        <w:ind w:left="1134" w:hanging="1134"/>
        <w:jc w:val="both"/>
        <w:rPr>
          <w:rFonts w:ascii="Arial" w:hAnsi="Arial" w:cs="Arial"/>
          <w:color w:val="000000"/>
          <w:sz w:val="18"/>
          <w:szCs w:val="18"/>
        </w:rPr>
      </w:pPr>
      <w:smartTag w:uri="urn:schemas-microsoft-com:office:smarttags" w:element="PersonName">
        <w:smartTagPr>
          <w:attr w:name="ProductID" w:val="la Red"/>
        </w:smartTagPr>
        <w:r>
          <w:rPr>
            <w:rFonts w:ascii="Arial" w:hAnsi="Arial" w:cs="Arial"/>
            <w:color w:val="000000"/>
            <w:sz w:val="18"/>
            <w:szCs w:val="18"/>
          </w:rPr>
          <w:t>La Red</w:t>
        </w:r>
      </w:smartTag>
      <w:r>
        <w:rPr>
          <w:rFonts w:ascii="Arial" w:hAnsi="Arial" w:cs="Arial"/>
          <w:color w:val="000000"/>
          <w:sz w:val="18"/>
          <w:szCs w:val="18"/>
        </w:rPr>
        <w:t xml:space="preserve"> de Espacios Naturales Protegidos y </w:t>
      </w:r>
      <w:smartTag w:uri="urn:schemas-microsoft-com:office:smarttags" w:element="PersonName">
        <w:smartTagPr>
          <w:attr w:name="ProductID" w:val="la Red"/>
        </w:smartTagPr>
        <w:smartTag w:uri="urn:schemas-microsoft-com:office:smarttags" w:element="PersonName">
          <w:smartTagPr>
            <w:attr w:name="ProductID" w:val="la Red Natura"/>
          </w:smartTagPr>
          <w:r>
            <w:rPr>
              <w:rFonts w:ascii="Arial" w:hAnsi="Arial" w:cs="Arial"/>
              <w:color w:val="000000"/>
              <w:sz w:val="18"/>
              <w:szCs w:val="18"/>
            </w:rPr>
            <w:t>la Red</w:t>
          </w:r>
        </w:smartTag>
        <w:r>
          <w:rPr>
            <w:rFonts w:ascii="Arial" w:hAnsi="Arial" w:cs="Arial"/>
            <w:color w:val="000000"/>
            <w:sz w:val="18"/>
            <w:szCs w:val="18"/>
          </w:rPr>
          <w:t xml:space="preserve"> Natura</w:t>
        </w:r>
      </w:smartTag>
      <w:r>
        <w:rPr>
          <w:rFonts w:ascii="Arial" w:hAnsi="Arial" w:cs="Arial"/>
          <w:color w:val="000000"/>
          <w:sz w:val="18"/>
          <w:szCs w:val="18"/>
        </w:rPr>
        <w:t xml:space="preserve"> 2000 en Cantabria. Objetivos. Principales características. Adaptación a INSPIRE.</w:t>
      </w:r>
    </w:p>
    <w:p w:rsidR="00973461" w:rsidRPr="0013009E" w:rsidRDefault="00973461" w:rsidP="0013009E">
      <w:pPr>
        <w:pStyle w:val="Prrafodelista"/>
        <w:numPr>
          <w:ilvl w:val="0"/>
          <w:numId w:val="8"/>
        </w:numPr>
        <w:spacing w:before="120"/>
        <w:ind w:left="1134" w:hanging="1134"/>
        <w:jc w:val="both"/>
        <w:rPr>
          <w:rFonts w:ascii="Arial" w:hAnsi="Arial" w:cs="Arial"/>
          <w:color w:val="000000"/>
          <w:sz w:val="18"/>
          <w:szCs w:val="18"/>
        </w:rPr>
      </w:pPr>
      <w:r w:rsidRPr="0013009E">
        <w:rPr>
          <w:rFonts w:ascii="Arial" w:hAnsi="Arial" w:cs="Arial"/>
          <w:color w:val="000000"/>
          <w:sz w:val="18"/>
          <w:szCs w:val="18"/>
        </w:rPr>
        <w:lastRenderedPageBreak/>
        <w:t>Geodesia espacial: Tipos de satélites. Posicionamiento. Propagación de emisiones radioeléctricas. Sistemas actuales de posicionamiento. Sistemas de referencia en geodesia espacial: sistemas globales, temporales y locales. Transformación al sistema local de las observaciones G.P.S.</w:t>
      </w:r>
    </w:p>
    <w:p w:rsidR="00973461" w:rsidRPr="0013009E" w:rsidRDefault="00973461" w:rsidP="0013009E">
      <w:pPr>
        <w:pStyle w:val="Prrafodelista"/>
        <w:numPr>
          <w:ilvl w:val="0"/>
          <w:numId w:val="8"/>
        </w:numPr>
        <w:spacing w:before="120"/>
        <w:ind w:left="1134" w:hanging="1134"/>
        <w:jc w:val="both"/>
        <w:rPr>
          <w:rFonts w:ascii="Arial" w:hAnsi="Arial" w:cs="Arial"/>
          <w:color w:val="000000"/>
          <w:sz w:val="18"/>
          <w:szCs w:val="18"/>
        </w:rPr>
      </w:pPr>
      <w:r w:rsidRPr="0013009E">
        <w:rPr>
          <w:rFonts w:ascii="Arial" w:hAnsi="Arial" w:cs="Arial"/>
          <w:color w:val="000000"/>
          <w:sz w:val="18"/>
          <w:szCs w:val="18"/>
        </w:rPr>
        <w:t>Sistema</w:t>
      </w:r>
      <w:r>
        <w:rPr>
          <w:rFonts w:ascii="Arial" w:hAnsi="Arial" w:cs="Arial"/>
          <w:color w:val="000000"/>
          <w:sz w:val="18"/>
          <w:szCs w:val="18"/>
        </w:rPr>
        <w:t>s de posicionamiento global</w:t>
      </w:r>
      <w:r w:rsidRPr="0013009E">
        <w:rPr>
          <w:rFonts w:ascii="Arial" w:hAnsi="Arial" w:cs="Arial"/>
          <w:color w:val="000000"/>
          <w:sz w:val="18"/>
          <w:szCs w:val="18"/>
        </w:rPr>
        <w:t xml:space="preserve">: Sector espacial, Sector de control, Sector usuario. Sistemas de medida: Doppler, </w:t>
      </w:r>
      <w:r>
        <w:rPr>
          <w:rFonts w:ascii="Arial" w:hAnsi="Arial" w:cs="Arial"/>
          <w:color w:val="000000"/>
          <w:sz w:val="18"/>
          <w:szCs w:val="18"/>
        </w:rPr>
        <w:t>p</w:t>
      </w:r>
      <w:r w:rsidRPr="0013009E">
        <w:rPr>
          <w:rFonts w:ascii="Arial" w:hAnsi="Arial" w:cs="Arial"/>
          <w:color w:val="000000"/>
          <w:sz w:val="18"/>
          <w:szCs w:val="18"/>
        </w:rPr>
        <w:t>seudodistancias, medidas de fase.</w:t>
      </w:r>
    </w:p>
    <w:p w:rsidR="00973461" w:rsidRDefault="00973461" w:rsidP="0013009E">
      <w:pPr>
        <w:pStyle w:val="Prrafodelista"/>
        <w:numPr>
          <w:ilvl w:val="0"/>
          <w:numId w:val="8"/>
        </w:numPr>
        <w:spacing w:before="120"/>
        <w:ind w:left="1134" w:hanging="1134"/>
        <w:jc w:val="both"/>
        <w:rPr>
          <w:rFonts w:ascii="Arial" w:hAnsi="Arial" w:cs="Arial"/>
          <w:color w:val="000000"/>
          <w:sz w:val="18"/>
          <w:szCs w:val="18"/>
        </w:rPr>
      </w:pPr>
      <w:r>
        <w:rPr>
          <w:rFonts w:ascii="Arial" w:hAnsi="Arial" w:cs="Arial"/>
          <w:color w:val="000000"/>
          <w:sz w:val="18"/>
          <w:szCs w:val="18"/>
        </w:rPr>
        <w:t>Métodos de posicionamiento</w:t>
      </w:r>
      <w:r w:rsidRPr="0013009E">
        <w:rPr>
          <w:rFonts w:ascii="Arial" w:hAnsi="Arial" w:cs="Arial"/>
          <w:color w:val="000000"/>
          <w:sz w:val="18"/>
          <w:szCs w:val="18"/>
        </w:rPr>
        <w:t xml:space="preserve">: según sistema de referencia, según movimiento del receptor, </w:t>
      </w:r>
      <w:r>
        <w:rPr>
          <w:rFonts w:ascii="Arial" w:hAnsi="Arial" w:cs="Arial"/>
          <w:color w:val="000000"/>
          <w:sz w:val="18"/>
          <w:szCs w:val="18"/>
        </w:rPr>
        <w:t xml:space="preserve"> según tiempo de cálculo. </w:t>
      </w:r>
      <w:r w:rsidRPr="0013009E">
        <w:rPr>
          <w:rFonts w:ascii="Arial" w:hAnsi="Arial" w:cs="Arial"/>
          <w:color w:val="000000"/>
          <w:sz w:val="18"/>
          <w:szCs w:val="18"/>
        </w:rPr>
        <w:t>Prec</w:t>
      </w:r>
      <w:r>
        <w:rPr>
          <w:rFonts w:ascii="Arial" w:hAnsi="Arial" w:cs="Arial"/>
          <w:color w:val="000000"/>
          <w:sz w:val="18"/>
          <w:szCs w:val="18"/>
        </w:rPr>
        <w:t>isión de las observaciones</w:t>
      </w:r>
      <w:r w:rsidRPr="0013009E">
        <w:rPr>
          <w:rFonts w:ascii="Arial" w:hAnsi="Arial" w:cs="Arial"/>
          <w:color w:val="000000"/>
          <w:sz w:val="18"/>
          <w:szCs w:val="18"/>
        </w:rPr>
        <w:t>.</w:t>
      </w:r>
      <w:r>
        <w:rPr>
          <w:rFonts w:ascii="Arial" w:hAnsi="Arial" w:cs="Arial"/>
          <w:color w:val="000000"/>
          <w:sz w:val="18"/>
          <w:szCs w:val="18"/>
        </w:rPr>
        <w:t xml:space="preserve"> Redes GNSS.</w:t>
      </w:r>
    </w:p>
    <w:p w:rsidR="00973461" w:rsidRPr="0013009E" w:rsidRDefault="00973461" w:rsidP="0013009E">
      <w:pPr>
        <w:pStyle w:val="Prrafodelista"/>
        <w:numPr>
          <w:ilvl w:val="0"/>
          <w:numId w:val="8"/>
        </w:numPr>
        <w:spacing w:before="120"/>
        <w:ind w:left="1134" w:hanging="1134"/>
        <w:jc w:val="both"/>
        <w:rPr>
          <w:rFonts w:ascii="Arial" w:hAnsi="Arial" w:cs="Arial"/>
          <w:color w:val="000000"/>
          <w:sz w:val="18"/>
          <w:szCs w:val="18"/>
        </w:rPr>
      </w:pPr>
      <w:smartTag w:uri="urn:schemas-microsoft-com:office:smarttags" w:element="PersonName">
        <w:smartTagPr>
          <w:attr w:name="ProductID" w:val="la Red"/>
        </w:smartTagPr>
        <w:smartTag w:uri="urn:schemas-microsoft-com:office:smarttags" w:element="PersonName">
          <w:smartTagPr>
            <w:attr w:name="ProductID" w:val="La Red Activa"/>
          </w:smartTagPr>
          <w:r>
            <w:rPr>
              <w:rFonts w:ascii="Arial" w:hAnsi="Arial" w:cs="Arial"/>
              <w:color w:val="000000"/>
              <w:sz w:val="18"/>
              <w:szCs w:val="18"/>
            </w:rPr>
            <w:t>La Red</w:t>
          </w:r>
        </w:smartTag>
        <w:r>
          <w:rPr>
            <w:rFonts w:ascii="Arial" w:hAnsi="Arial" w:cs="Arial"/>
            <w:color w:val="000000"/>
            <w:sz w:val="18"/>
            <w:szCs w:val="18"/>
          </w:rPr>
          <w:t xml:space="preserve"> Activa</w:t>
        </w:r>
      </w:smartTag>
      <w:r>
        <w:rPr>
          <w:rFonts w:ascii="Arial" w:hAnsi="Arial" w:cs="Arial"/>
          <w:color w:val="000000"/>
          <w:sz w:val="18"/>
          <w:szCs w:val="18"/>
        </w:rPr>
        <w:t xml:space="preserve"> GNSS de Cantabria. Antecedentes. Configuración. Precisiones. Protocolo NTRIP. Tipos de solución.</w:t>
      </w:r>
    </w:p>
    <w:p w:rsidR="00973461" w:rsidRPr="0013009E" w:rsidRDefault="00973461" w:rsidP="0013009E">
      <w:pPr>
        <w:pStyle w:val="Prrafodelista"/>
        <w:numPr>
          <w:ilvl w:val="0"/>
          <w:numId w:val="8"/>
        </w:numPr>
        <w:spacing w:before="120"/>
        <w:ind w:left="1134" w:hanging="1134"/>
        <w:jc w:val="both"/>
        <w:rPr>
          <w:rFonts w:ascii="Arial" w:hAnsi="Arial" w:cs="Arial"/>
          <w:color w:val="000000"/>
          <w:sz w:val="18"/>
          <w:szCs w:val="18"/>
        </w:rPr>
      </w:pPr>
      <w:r w:rsidRPr="0013009E">
        <w:rPr>
          <w:rFonts w:ascii="Arial" w:hAnsi="Arial" w:cs="Arial"/>
          <w:color w:val="000000"/>
          <w:sz w:val="18"/>
          <w:szCs w:val="18"/>
        </w:rPr>
        <w:t>Aplicaciones del G.P.S. en geodesia y topografía.</w:t>
      </w:r>
    </w:p>
    <w:p w:rsidR="00973461" w:rsidRDefault="00973461" w:rsidP="0013009E">
      <w:pPr>
        <w:pStyle w:val="Prrafodelista"/>
        <w:numPr>
          <w:ilvl w:val="0"/>
          <w:numId w:val="8"/>
        </w:numPr>
        <w:spacing w:before="120"/>
        <w:ind w:left="1134" w:hanging="1134"/>
        <w:jc w:val="both"/>
        <w:rPr>
          <w:rFonts w:ascii="Arial" w:hAnsi="Arial" w:cs="Arial"/>
          <w:color w:val="000000"/>
          <w:sz w:val="18"/>
          <w:szCs w:val="18"/>
        </w:rPr>
      </w:pPr>
      <w:r w:rsidRPr="0013009E">
        <w:rPr>
          <w:rFonts w:ascii="Arial" w:hAnsi="Arial" w:cs="Arial"/>
          <w:color w:val="000000"/>
          <w:sz w:val="18"/>
          <w:szCs w:val="18"/>
        </w:rPr>
        <w:t>Sist</w:t>
      </w:r>
      <w:r>
        <w:rPr>
          <w:rFonts w:ascii="Arial" w:hAnsi="Arial" w:cs="Arial"/>
          <w:color w:val="000000"/>
          <w:sz w:val="18"/>
          <w:szCs w:val="18"/>
        </w:rPr>
        <w:t>emas de información geográfica (SIG). Definición. Componentes.</w:t>
      </w:r>
    </w:p>
    <w:p w:rsidR="00973461" w:rsidRDefault="00973461" w:rsidP="0013009E">
      <w:pPr>
        <w:pStyle w:val="Prrafodelista"/>
        <w:numPr>
          <w:ilvl w:val="0"/>
          <w:numId w:val="8"/>
        </w:numPr>
        <w:spacing w:before="120"/>
        <w:ind w:left="1134" w:hanging="1134"/>
        <w:jc w:val="both"/>
        <w:rPr>
          <w:rFonts w:ascii="Arial" w:hAnsi="Arial" w:cs="Arial"/>
          <w:color w:val="000000"/>
          <w:sz w:val="18"/>
          <w:szCs w:val="18"/>
        </w:rPr>
      </w:pPr>
      <w:r>
        <w:rPr>
          <w:rFonts w:ascii="Arial" w:hAnsi="Arial" w:cs="Arial"/>
          <w:color w:val="000000"/>
          <w:sz w:val="18"/>
          <w:szCs w:val="18"/>
        </w:rPr>
        <w:t>SIG Corporativo. Concepto. Objetivos. Fases de implantación. Ventajas de las Geodatabases corporativas. Ejemplos.</w:t>
      </w:r>
    </w:p>
    <w:p w:rsidR="00973461" w:rsidRPr="0013009E" w:rsidRDefault="00973461" w:rsidP="0013009E">
      <w:pPr>
        <w:pStyle w:val="Prrafodelista"/>
        <w:numPr>
          <w:ilvl w:val="0"/>
          <w:numId w:val="8"/>
        </w:numPr>
        <w:spacing w:before="120"/>
        <w:ind w:left="1134" w:hanging="1134"/>
        <w:jc w:val="both"/>
        <w:rPr>
          <w:rFonts w:ascii="Arial" w:hAnsi="Arial" w:cs="Arial"/>
          <w:color w:val="000000"/>
          <w:sz w:val="18"/>
          <w:szCs w:val="18"/>
        </w:rPr>
      </w:pPr>
      <w:r>
        <w:rPr>
          <w:rFonts w:ascii="Arial" w:hAnsi="Arial" w:cs="Arial"/>
          <w:color w:val="000000"/>
          <w:sz w:val="18"/>
          <w:szCs w:val="18"/>
        </w:rPr>
        <w:t>Teledetección: Fundamentos físicos. Radiación electromagnética. Interacción con la atmósfera y la superficie terrestre. Plataformas, sensores y canales. Aplicaciónes en Cartografía. Plan Nacional de Teledetección.</w:t>
      </w:r>
    </w:p>
    <w:sectPr w:rsidR="00973461" w:rsidRPr="0013009E" w:rsidSect="0033679A">
      <w:headerReference w:type="default" r:id="rId7"/>
      <w:footerReference w:type="default" r:id="rId8"/>
      <w:pgSz w:w="11906" w:h="16838"/>
      <w:pgMar w:top="1417" w:right="849" w:bottom="1417" w:left="1701" w:header="284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973461" w:rsidRDefault="00973461" w:rsidP="00F3687D">
      <w:pPr>
        <w:spacing w:after="0" w:line="240" w:lineRule="auto"/>
      </w:pPr>
      <w:r>
        <w:separator/>
      </w:r>
    </w:p>
  </w:endnote>
  <w:endnote w:type="continuationSeparator" w:id="0">
    <w:p w:rsidR="00973461" w:rsidRDefault="00973461" w:rsidP="00F3687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973461" w:rsidRDefault="00C839D1">
    <w:pPr>
      <w:pStyle w:val="Piedepgina"/>
      <w:jc w:val="right"/>
    </w:pPr>
    <w:r>
      <w:fldChar w:fldCharType="begin"/>
    </w:r>
    <w:r>
      <w:instrText>PAGE   \* MERGEFORMAT</w:instrText>
    </w:r>
    <w:r>
      <w:fldChar w:fldCharType="separate"/>
    </w:r>
    <w:r>
      <w:rPr>
        <w:noProof/>
      </w:rPr>
      <w:t>3</w:t>
    </w:r>
    <w:r>
      <w:rPr>
        <w:noProof/>
      </w:rPr>
      <w:fldChar w:fldCharType="end"/>
    </w:r>
  </w:p>
  <w:p w:rsidR="00973461" w:rsidRDefault="00973461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973461" w:rsidRDefault="00973461" w:rsidP="00F3687D">
      <w:pPr>
        <w:spacing w:after="0" w:line="240" w:lineRule="auto"/>
      </w:pPr>
      <w:r>
        <w:separator/>
      </w:r>
    </w:p>
  </w:footnote>
  <w:footnote w:type="continuationSeparator" w:id="0">
    <w:p w:rsidR="00973461" w:rsidRDefault="00973461" w:rsidP="00F3687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8784" w:type="dxa"/>
      <w:tblInd w:w="-106" w:type="dxa"/>
      <w:tblLayout w:type="fixed"/>
      <w:tblLook w:val="00A0" w:firstRow="1" w:lastRow="0" w:firstColumn="1" w:lastColumn="0" w:noHBand="0" w:noVBand="0"/>
    </w:tblPr>
    <w:tblGrid>
      <w:gridCol w:w="4248"/>
      <w:gridCol w:w="4536"/>
    </w:tblGrid>
    <w:tr w:rsidR="00973461" w:rsidRPr="00CB6C93">
      <w:tc>
        <w:tcPr>
          <w:tcW w:w="4248" w:type="dxa"/>
        </w:tcPr>
        <w:p w:rsidR="00973461" w:rsidRPr="00CB6C93" w:rsidRDefault="00973461" w:rsidP="00CF114A">
          <w:pPr>
            <w:pStyle w:val="Encabezado"/>
          </w:pPr>
        </w:p>
        <w:tbl>
          <w:tblPr>
            <w:tblW w:w="12792" w:type="dxa"/>
            <w:tblLayout w:type="fixed"/>
            <w:tblLook w:val="00A0" w:firstRow="1" w:lastRow="0" w:firstColumn="1" w:lastColumn="0" w:noHBand="0" w:noVBand="0"/>
          </w:tblPr>
          <w:tblGrid>
            <w:gridCol w:w="7088"/>
            <w:gridCol w:w="5704"/>
          </w:tblGrid>
          <w:tr w:rsidR="00973461" w:rsidRPr="00CB6C93">
            <w:trPr>
              <w:trHeight w:val="1565"/>
            </w:trPr>
            <w:tc>
              <w:tcPr>
                <w:tcW w:w="7088" w:type="dxa"/>
                <w:vAlign w:val="center"/>
              </w:tcPr>
              <w:p w:rsidR="00973461" w:rsidRPr="00CB6C93" w:rsidRDefault="00C839D1" w:rsidP="00CF114A">
                <w:pPr>
                  <w:pStyle w:val="Encabezado"/>
                  <w:tabs>
                    <w:tab w:val="clear" w:pos="4252"/>
                    <w:tab w:val="clear" w:pos="8504"/>
                    <w:tab w:val="left" w:pos="8505"/>
                  </w:tabs>
                  <w:ind w:left="-1104" w:right="-1494" w:firstLine="714"/>
                </w:pPr>
                <w:r>
                  <w:rPr>
                    <w:noProof/>
                    <w:lang w:eastAsia="es-ES"/>
                  </w:rPr>
                  <w:drawing>
                    <wp:inline distT="0" distB="0" distL="0" distR="0">
                      <wp:extent cx="2131695" cy="1122045"/>
                      <wp:effectExtent l="0" t="0" r="0" b="0"/>
                      <wp:docPr id="1" name="Imagen 1" descr="https://www.cantabria.es/documents/28617/6427995/consejeria-presidencia.jpg/507b08e4-6cc9-5edc-21fe-9f56c5ef1ce0?version=1.0&amp;t=1531733117535&amp;imagePreview=1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openxmlformats.org/drawingml/2006/picture">
                          <pic:pic xmlns:pic="http://schemas.openxmlformats.org/drawingml/2006/picture">
                            <pic:nvPicPr>
                              <pic:cNvPr id="0" name="Picture 1" descr="https://www.cantabria.es/documents/28617/6427995/consejeria-presidencia.jpg/507b08e4-6cc9-5edc-21fe-9f56c5ef1ce0?version=1.0&amp;t=1531733117535&amp;imagePreview=1"/>
                              <pic:cNvPicPr>
                                <a:picLocks noChangeAspect="1" noChangeArrowheads="1"/>
                              </pic:cNvPicPr>
                            </pic:nvPicPr>
                            <pic:blipFill>
                              <a:blip r:embed="rId1">
                                <a:extLst>
                                  <a:ext uri="{28A0092B-C50C-407E-A947-70E740481C1C}">
                                    <a14:useLocalDpi xmlns:a14="http://schemas.microsoft.com/office/drawing/2010/main" val="0"/>
                                  </a:ext>
                                </a:extLst>
                              </a:blip>
                              <a:srcRect r="51692"/>
                              <a:stretch>
                                <a:fillRect/>
                              </a:stretch>
                            </pic:blipFill>
                            <pic:spPr bwMode="auto">
                              <a:xfrm>
                                <a:off x="0" y="0"/>
                                <a:ext cx="2131695" cy="112204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pic:spPr>
                          </pic:pic>
                        </a:graphicData>
                      </a:graphic>
                    </wp:inline>
                  </w:drawing>
                </w:r>
              </w:p>
              <w:p w:rsidR="00973461" w:rsidRPr="00CB6C93" w:rsidRDefault="00973461" w:rsidP="00CF114A">
                <w:pPr>
                  <w:pStyle w:val="Encabezado"/>
                  <w:ind w:left="212" w:firstLine="426"/>
                  <w:rPr>
                    <w:rFonts w:ascii="Arial" w:hAnsi="Arial" w:cs="Arial"/>
                    <w:b/>
                    <w:bCs/>
                    <w:sz w:val="14"/>
                    <w:szCs w:val="14"/>
                  </w:rPr>
                </w:pPr>
                <w:r w:rsidRPr="00CB6C93">
                  <w:rPr>
                    <w:rFonts w:ascii="Arial" w:hAnsi="Arial" w:cs="Arial"/>
                    <w:b/>
                    <w:bCs/>
                    <w:sz w:val="14"/>
                    <w:szCs w:val="14"/>
                  </w:rPr>
                  <w:t>DIRECCIÓN GENERALDE</w:t>
                </w:r>
              </w:p>
              <w:p w:rsidR="00973461" w:rsidRPr="00CB6C93" w:rsidRDefault="00973461" w:rsidP="00CF114A">
                <w:pPr>
                  <w:pStyle w:val="Encabezado"/>
                  <w:ind w:firstLine="714"/>
                  <w:rPr>
                    <w:rFonts w:ascii="Arial" w:hAnsi="Arial" w:cs="Arial"/>
                    <w:color w:val="000000"/>
                    <w:sz w:val="19"/>
                    <w:szCs w:val="19"/>
                  </w:rPr>
                </w:pPr>
                <w:r w:rsidRPr="00CB6C93">
                  <w:rPr>
                    <w:rFonts w:ascii="Arial" w:hAnsi="Arial" w:cs="Arial"/>
                    <w:b/>
                    <w:bCs/>
                    <w:sz w:val="14"/>
                    <w:szCs w:val="14"/>
                  </w:rPr>
                  <w:t xml:space="preserve"> FUNCIÓN PÚBLICA</w:t>
                </w:r>
              </w:p>
              <w:p w:rsidR="00973461" w:rsidRPr="00CB6C93" w:rsidRDefault="00973461" w:rsidP="00CF114A">
                <w:pPr>
                  <w:pStyle w:val="Encabezado"/>
                  <w:ind w:left="-108"/>
                  <w:rPr>
                    <w:rFonts w:ascii="Arial" w:hAnsi="Arial" w:cs="Arial"/>
                    <w:b/>
                    <w:bCs/>
                    <w:sz w:val="16"/>
                    <w:szCs w:val="16"/>
                  </w:rPr>
                </w:pPr>
              </w:p>
            </w:tc>
            <w:tc>
              <w:tcPr>
                <w:tcW w:w="5704" w:type="dxa"/>
                <w:vAlign w:val="center"/>
              </w:tcPr>
              <w:p w:rsidR="00973461" w:rsidRPr="00CB6C93" w:rsidRDefault="00973461" w:rsidP="00CF114A">
                <w:pPr>
                  <w:pStyle w:val="Encabezado"/>
                  <w:rPr>
                    <w:rFonts w:ascii="Arial" w:hAnsi="Arial" w:cs="Arial"/>
                    <w:b/>
                    <w:bCs/>
                    <w:sz w:val="16"/>
                    <w:szCs w:val="16"/>
                  </w:rPr>
                </w:pPr>
              </w:p>
            </w:tc>
          </w:tr>
        </w:tbl>
        <w:p w:rsidR="00973461" w:rsidRPr="00CB6C93" w:rsidRDefault="00973461">
          <w:pPr>
            <w:pStyle w:val="Encabezado"/>
          </w:pPr>
        </w:p>
      </w:tc>
      <w:tc>
        <w:tcPr>
          <w:tcW w:w="4536" w:type="dxa"/>
          <w:vAlign w:val="center"/>
        </w:tcPr>
        <w:p w:rsidR="00973461" w:rsidRPr="00CB6C93" w:rsidRDefault="00C839D1" w:rsidP="00CB6C93">
          <w:pPr>
            <w:pStyle w:val="Encabezado"/>
            <w:tabs>
              <w:tab w:val="clear" w:pos="4252"/>
            </w:tabs>
            <w:ind w:left="-2448"/>
            <w:jc w:val="right"/>
          </w:pPr>
          <w:r>
            <w:rPr>
              <w:noProof/>
              <w:lang w:eastAsia="es-ES"/>
            </w:rPr>
            <w:drawing>
              <wp:inline distT="0" distB="0" distL="0" distR="0">
                <wp:extent cx="1486535" cy="875030"/>
                <wp:effectExtent l="0" t="0" r="0" b="0"/>
                <wp:docPr id="2" name="Imagen 2" descr="https://www.cantabria.es/documents/28617/6414679/jubilar_vert_color.jpg/4fd3efde-f205-6ae1-ff34-c066943dd8b3?t=1531732852940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2" descr="https://www.cantabria.es/documents/28617/6414679/jubilar_vert_color.jpg/4fd3efde-f205-6ae1-ff34-c066943dd8b3?t=1531732852940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2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486535" cy="87503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</w:tr>
  </w:tbl>
  <w:p w:rsidR="00973461" w:rsidRDefault="00973461">
    <w:pPr>
      <w:pStyle w:val="Encabezado"/>
    </w:pPr>
  </w:p>
  <w:p w:rsidR="00973461" w:rsidRDefault="00973461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C297FEA"/>
    <w:multiLevelType w:val="hybridMultilevel"/>
    <w:tmpl w:val="11121DAE"/>
    <w:lvl w:ilvl="0" w:tplc="0C0A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C0A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C0A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C0A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C0A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C0A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C0A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C0A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C0A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" w15:restartNumberingAfterBreak="0">
    <w:nsid w:val="253755FB"/>
    <w:multiLevelType w:val="hybridMultilevel"/>
    <w:tmpl w:val="98CE7C32"/>
    <w:lvl w:ilvl="0" w:tplc="0F0203A4">
      <w:start w:val="1"/>
      <w:numFmt w:val="decimal"/>
      <w:lvlText w:val="TEMA %1.-"/>
      <w:lvlJc w:val="left"/>
      <w:pPr>
        <w:ind w:left="786" w:hanging="360"/>
      </w:pPr>
      <w:rPr>
        <w:rFonts w:ascii="Arial" w:hAnsi="Arial" w:cs="Arial" w:hint="default"/>
        <w:b/>
        <w:bCs/>
        <w:i w:val="0"/>
        <w:iCs w:val="0"/>
        <w:color w:val="auto"/>
        <w:sz w:val="20"/>
        <w:szCs w:val="20"/>
      </w:rPr>
    </w:lvl>
    <w:lvl w:ilvl="1" w:tplc="0C0A0019">
      <w:start w:val="1"/>
      <w:numFmt w:val="lowerLetter"/>
      <w:lvlText w:val="%2."/>
      <w:lvlJc w:val="left"/>
      <w:pPr>
        <w:ind w:left="1506" w:hanging="360"/>
      </w:pPr>
      <w:rPr>
        <w:rFonts w:cs="Times New Roman"/>
      </w:rPr>
    </w:lvl>
    <w:lvl w:ilvl="2" w:tplc="0C0A001B">
      <w:start w:val="1"/>
      <w:numFmt w:val="lowerRoman"/>
      <w:lvlText w:val="%3."/>
      <w:lvlJc w:val="right"/>
      <w:pPr>
        <w:ind w:left="2226" w:hanging="180"/>
      </w:pPr>
      <w:rPr>
        <w:rFonts w:cs="Times New Roman"/>
      </w:rPr>
    </w:lvl>
    <w:lvl w:ilvl="3" w:tplc="0C0A000F">
      <w:start w:val="1"/>
      <w:numFmt w:val="decimal"/>
      <w:lvlText w:val="%4."/>
      <w:lvlJc w:val="left"/>
      <w:pPr>
        <w:ind w:left="2946" w:hanging="360"/>
      </w:pPr>
      <w:rPr>
        <w:rFonts w:cs="Times New Roman"/>
      </w:rPr>
    </w:lvl>
    <w:lvl w:ilvl="4" w:tplc="0C0A0019">
      <w:start w:val="1"/>
      <w:numFmt w:val="lowerLetter"/>
      <w:lvlText w:val="%5."/>
      <w:lvlJc w:val="left"/>
      <w:pPr>
        <w:ind w:left="3666" w:hanging="360"/>
      </w:pPr>
      <w:rPr>
        <w:rFonts w:cs="Times New Roman"/>
      </w:rPr>
    </w:lvl>
    <w:lvl w:ilvl="5" w:tplc="0C0A001B">
      <w:start w:val="1"/>
      <w:numFmt w:val="lowerRoman"/>
      <w:lvlText w:val="%6."/>
      <w:lvlJc w:val="right"/>
      <w:pPr>
        <w:ind w:left="4386" w:hanging="180"/>
      </w:pPr>
      <w:rPr>
        <w:rFonts w:cs="Times New Roman"/>
      </w:rPr>
    </w:lvl>
    <w:lvl w:ilvl="6" w:tplc="0C0A000F">
      <w:start w:val="1"/>
      <w:numFmt w:val="decimal"/>
      <w:lvlText w:val="%7."/>
      <w:lvlJc w:val="left"/>
      <w:pPr>
        <w:ind w:left="5106" w:hanging="360"/>
      </w:pPr>
      <w:rPr>
        <w:rFonts w:cs="Times New Roman"/>
      </w:rPr>
    </w:lvl>
    <w:lvl w:ilvl="7" w:tplc="0C0A0019">
      <w:start w:val="1"/>
      <w:numFmt w:val="lowerLetter"/>
      <w:lvlText w:val="%8."/>
      <w:lvlJc w:val="left"/>
      <w:pPr>
        <w:ind w:left="5826" w:hanging="360"/>
      </w:pPr>
      <w:rPr>
        <w:rFonts w:cs="Times New Roman"/>
      </w:rPr>
    </w:lvl>
    <w:lvl w:ilvl="8" w:tplc="0C0A001B">
      <w:start w:val="1"/>
      <w:numFmt w:val="lowerRoman"/>
      <w:lvlText w:val="%9."/>
      <w:lvlJc w:val="right"/>
      <w:pPr>
        <w:ind w:left="6546" w:hanging="180"/>
      </w:pPr>
      <w:rPr>
        <w:rFonts w:cs="Times New Roman"/>
      </w:rPr>
    </w:lvl>
  </w:abstractNum>
  <w:abstractNum w:abstractNumId="2" w15:restartNumberingAfterBreak="0">
    <w:nsid w:val="30991E9E"/>
    <w:multiLevelType w:val="multilevel"/>
    <w:tmpl w:val="7E90E364"/>
    <w:lvl w:ilvl="0">
      <w:start w:val="1"/>
      <w:numFmt w:val="decimal"/>
      <w:lvlText w:val="TEMA %1.-"/>
      <w:lvlJc w:val="left"/>
      <w:pPr>
        <w:ind w:left="360" w:hanging="360"/>
      </w:pPr>
      <w:rPr>
        <w:rFonts w:ascii="Arial" w:hAnsi="Arial" w:cs="Arial" w:hint="default"/>
        <w:b/>
        <w:bCs/>
        <w:i w:val="0"/>
        <w:iCs w:val="0"/>
        <w:color w:val="auto"/>
        <w:sz w:val="20"/>
        <w:szCs w:val="20"/>
      </w:rPr>
    </w:lvl>
    <w:lvl w:ilvl="1">
      <w:start w:val="1"/>
      <w:numFmt w:val="decimal"/>
      <w:isLgl/>
      <w:lvlText w:val="%1.%2."/>
      <w:lvlJc w:val="left"/>
      <w:pPr>
        <w:ind w:left="862" w:hanging="720"/>
      </w:pPr>
      <w:rPr>
        <w:rFonts w:cs="Times New Roman" w:hint="default"/>
      </w:rPr>
    </w:lvl>
    <w:lvl w:ilvl="2">
      <w:start w:val="1"/>
      <w:numFmt w:val="decimal"/>
      <w:isLgl/>
      <w:lvlText w:val="%1.%2.%3."/>
      <w:lvlJc w:val="left"/>
      <w:pPr>
        <w:ind w:left="1004" w:hanging="720"/>
      </w:pPr>
      <w:rPr>
        <w:rFonts w:cs="Times New Roman" w:hint="default"/>
      </w:rPr>
    </w:lvl>
    <w:lvl w:ilvl="3">
      <w:start w:val="1"/>
      <w:numFmt w:val="decimal"/>
      <w:isLgl/>
      <w:lvlText w:val="%1.%2.%3.%4."/>
      <w:lvlJc w:val="left"/>
      <w:pPr>
        <w:ind w:left="1506" w:hanging="1080"/>
      </w:pPr>
      <w:rPr>
        <w:rFonts w:cs="Times New Roman" w:hint="default"/>
      </w:rPr>
    </w:lvl>
    <w:lvl w:ilvl="4">
      <w:start w:val="1"/>
      <w:numFmt w:val="decimal"/>
      <w:isLgl/>
      <w:lvlText w:val="%1.%2.%3.%4.%5."/>
      <w:lvlJc w:val="left"/>
      <w:pPr>
        <w:ind w:left="1648" w:hanging="1080"/>
      </w:pPr>
      <w:rPr>
        <w:rFonts w:cs="Times New Roman" w:hint="default"/>
      </w:rPr>
    </w:lvl>
    <w:lvl w:ilvl="5">
      <w:start w:val="1"/>
      <w:numFmt w:val="decimal"/>
      <w:isLgl/>
      <w:lvlText w:val="%1.%2.%3.%4.%5.%6."/>
      <w:lvlJc w:val="left"/>
      <w:pPr>
        <w:ind w:left="2150" w:hanging="1440"/>
      </w:pPr>
      <w:rPr>
        <w:rFonts w:cs="Times New Roman" w:hint="default"/>
      </w:rPr>
    </w:lvl>
    <w:lvl w:ilvl="6">
      <w:start w:val="1"/>
      <w:numFmt w:val="decimal"/>
      <w:isLgl/>
      <w:lvlText w:val="%1.%2.%3.%4.%5.%6.%7."/>
      <w:lvlJc w:val="left"/>
      <w:pPr>
        <w:ind w:left="2292" w:hanging="1440"/>
      </w:pPr>
      <w:rPr>
        <w:rFonts w:cs="Times New Roman" w:hint="default"/>
      </w:rPr>
    </w:lvl>
    <w:lvl w:ilvl="7">
      <w:start w:val="1"/>
      <w:numFmt w:val="decimal"/>
      <w:isLgl/>
      <w:lvlText w:val="%1.%2.%3.%4.%5.%6.%7.%8."/>
      <w:lvlJc w:val="left"/>
      <w:pPr>
        <w:ind w:left="2794" w:hanging="1800"/>
      </w:pPr>
      <w:rPr>
        <w:rFonts w:cs="Times New Roman" w:hint="default"/>
      </w:rPr>
    </w:lvl>
    <w:lvl w:ilvl="8">
      <w:start w:val="1"/>
      <w:numFmt w:val="decimal"/>
      <w:isLgl/>
      <w:lvlText w:val="%1.%2.%3.%4.%5.%6.%7.%8.%9."/>
      <w:lvlJc w:val="left"/>
      <w:pPr>
        <w:ind w:left="2936" w:hanging="1800"/>
      </w:pPr>
      <w:rPr>
        <w:rFonts w:cs="Times New Roman" w:hint="default"/>
      </w:rPr>
    </w:lvl>
  </w:abstractNum>
  <w:abstractNum w:abstractNumId="3" w15:restartNumberingAfterBreak="0">
    <w:nsid w:val="468117FF"/>
    <w:multiLevelType w:val="multilevel"/>
    <w:tmpl w:val="8794BBA8"/>
    <w:lvl w:ilvl="0">
      <w:start w:val="1"/>
      <w:numFmt w:val="decimal"/>
      <w:lvlText w:val="%1."/>
      <w:lvlJc w:val="left"/>
      <w:pPr>
        <w:ind w:left="502" w:hanging="360"/>
      </w:pPr>
      <w:rPr>
        <w:rFonts w:cs="Times New Roman"/>
      </w:rPr>
    </w:lvl>
    <w:lvl w:ilvl="1">
      <w:start w:val="1"/>
      <w:numFmt w:val="decimal"/>
      <w:isLgl/>
      <w:lvlText w:val="%1.%2."/>
      <w:lvlJc w:val="left"/>
      <w:pPr>
        <w:ind w:left="1004" w:hanging="720"/>
      </w:pPr>
      <w:rPr>
        <w:rFonts w:cs="Times New Roman" w:hint="default"/>
      </w:rPr>
    </w:lvl>
    <w:lvl w:ilvl="2">
      <w:start w:val="1"/>
      <w:numFmt w:val="decimal"/>
      <w:isLgl/>
      <w:lvlText w:val="%1.%2.%3."/>
      <w:lvlJc w:val="left"/>
      <w:pPr>
        <w:ind w:left="1146" w:hanging="720"/>
      </w:pPr>
      <w:rPr>
        <w:rFonts w:cs="Times New Roman" w:hint="default"/>
      </w:rPr>
    </w:lvl>
    <w:lvl w:ilvl="3">
      <w:start w:val="1"/>
      <w:numFmt w:val="decimal"/>
      <w:isLgl/>
      <w:lvlText w:val="%1.%2.%3.%4."/>
      <w:lvlJc w:val="left"/>
      <w:pPr>
        <w:ind w:left="1648" w:hanging="1080"/>
      </w:pPr>
      <w:rPr>
        <w:rFonts w:cs="Times New Roman" w:hint="default"/>
      </w:rPr>
    </w:lvl>
    <w:lvl w:ilvl="4">
      <w:start w:val="1"/>
      <w:numFmt w:val="decimal"/>
      <w:isLgl/>
      <w:lvlText w:val="%1.%2.%3.%4.%5."/>
      <w:lvlJc w:val="left"/>
      <w:pPr>
        <w:ind w:left="1790" w:hanging="1080"/>
      </w:pPr>
      <w:rPr>
        <w:rFonts w:cs="Times New Roman" w:hint="default"/>
      </w:rPr>
    </w:lvl>
    <w:lvl w:ilvl="5">
      <w:start w:val="1"/>
      <w:numFmt w:val="decimal"/>
      <w:isLgl/>
      <w:lvlText w:val="%1.%2.%3.%4.%5.%6."/>
      <w:lvlJc w:val="left"/>
      <w:pPr>
        <w:ind w:left="2292" w:hanging="1440"/>
      </w:pPr>
      <w:rPr>
        <w:rFonts w:cs="Times New Roman" w:hint="default"/>
      </w:rPr>
    </w:lvl>
    <w:lvl w:ilvl="6">
      <w:start w:val="1"/>
      <w:numFmt w:val="decimal"/>
      <w:isLgl/>
      <w:lvlText w:val="%1.%2.%3.%4.%5.%6.%7."/>
      <w:lvlJc w:val="left"/>
      <w:pPr>
        <w:ind w:left="2434" w:hanging="1440"/>
      </w:pPr>
      <w:rPr>
        <w:rFonts w:cs="Times New Roman" w:hint="default"/>
      </w:rPr>
    </w:lvl>
    <w:lvl w:ilvl="7">
      <w:start w:val="1"/>
      <w:numFmt w:val="decimal"/>
      <w:isLgl/>
      <w:lvlText w:val="%1.%2.%3.%4.%5.%6.%7.%8."/>
      <w:lvlJc w:val="left"/>
      <w:pPr>
        <w:ind w:left="2936" w:hanging="1800"/>
      </w:pPr>
      <w:rPr>
        <w:rFonts w:cs="Times New Roman" w:hint="default"/>
      </w:rPr>
    </w:lvl>
    <w:lvl w:ilvl="8">
      <w:start w:val="1"/>
      <w:numFmt w:val="decimal"/>
      <w:isLgl/>
      <w:lvlText w:val="%1.%2.%3.%4.%5.%6.%7.%8.%9."/>
      <w:lvlJc w:val="left"/>
      <w:pPr>
        <w:ind w:left="3078" w:hanging="1800"/>
      </w:pPr>
      <w:rPr>
        <w:rFonts w:cs="Times New Roman" w:hint="default"/>
      </w:rPr>
    </w:lvl>
  </w:abstractNum>
  <w:abstractNum w:abstractNumId="4" w15:restartNumberingAfterBreak="0">
    <w:nsid w:val="46B545CD"/>
    <w:multiLevelType w:val="multilevel"/>
    <w:tmpl w:val="8794BBA8"/>
    <w:lvl w:ilvl="0">
      <w:start w:val="1"/>
      <w:numFmt w:val="decimal"/>
      <w:lvlText w:val="%1."/>
      <w:lvlJc w:val="left"/>
      <w:pPr>
        <w:ind w:left="502" w:hanging="360"/>
      </w:pPr>
      <w:rPr>
        <w:rFonts w:cs="Times New Roman"/>
      </w:rPr>
    </w:lvl>
    <w:lvl w:ilvl="1">
      <w:start w:val="1"/>
      <w:numFmt w:val="decimal"/>
      <w:isLgl/>
      <w:lvlText w:val="%1.%2."/>
      <w:lvlJc w:val="left"/>
      <w:pPr>
        <w:ind w:left="1004" w:hanging="720"/>
      </w:pPr>
      <w:rPr>
        <w:rFonts w:cs="Times New Roman" w:hint="default"/>
      </w:rPr>
    </w:lvl>
    <w:lvl w:ilvl="2">
      <w:start w:val="1"/>
      <w:numFmt w:val="decimal"/>
      <w:isLgl/>
      <w:lvlText w:val="%1.%2.%3."/>
      <w:lvlJc w:val="left"/>
      <w:pPr>
        <w:ind w:left="1146" w:hanging="720"/>
      </w:pPr>
      <w:rPr>
        <w:rFonts w:cs="Times New Roman" w:hint="default"/>
      </w:rPr>
    </w:lvl>
    <w:lvl w:ilvl="3">
      <w:start w:val="1"/>
      <w:numFmt w:val="decimal"/>
      <w:isLgl/>
      <w:lvlText w:val="%1.%2.%3.%4."/>
      <w:lvlJc w:val="left"/>
      <w:pPr>
        <w:ind w:left="1648" w:hanging="1080"/>
      </w:pPr>
      <w:rPr>
        <w:rFonts w:cs="Times New Roman" w:hint="default"/>
      </w:rPr>
    </w:lvl>
    <w:lvl w:ilvl="4">
      <w:start w:val="1"/>
      <w:numFmt w:val="decimal"/>
      <w:isLgl/>
      <w:lvlText w:val="%1.%2.%3.%4.%5."/>
      <w:lvlJc w:val="left"/>
      <w:pPr>
        <w:ind w:left="1790" w:hanging="1080"/>
      </w:pPr>
      <w:rPr>
        <w:rFonts w:cs="Times New Roman" w:hint="default"/>
      </w:rPr>
    </w:lvl>
    <w:lvl w:ilvl="5">
      <w:start w:val="1"/>
      <w:numFmt w:val="decimal"/>
      <w:isLgl/>
      <w:lvlText w:val="%1.%2.%3.%4.%5.%6."/>
      <w:lvlJc w:val="left"/>
      <w:pPr>
        <w:ind w:left="2292" w:hanging="1440"/>
      </w:pPr>
      <w:rPr>
        <w:rFonts w:cs="Times New Roman" w:hint="default"/>
      </w:rPr>
    </w:lvl>
    <w:lvl w:ilvl="6">
      <w:start w:val="1"/>
      <w:numFmt w:val="decimal"/>
      <w:isLgl/>
      <w:lvlText w:val="%1.%2.%3.%4.%5.%6.%7."/>
      <w:lvlJc w:val="left"/>
      <w:pPr>
        <w:ind w:left="2434" w:hanging="1440"/>
      </w:pPr>
      <w:rPr>
        <w:rFonts w:cs="Times New Roman" w:hint="default"/>
      </w:rPr>
    </w:lvl>
    <w:lvl w:ilvl="7">
      <w:start w:val="1"/>
      <w:numFmt w:val="decimal"/>
      <w:isLgl/>
      <w:lvlText w:val="%1.%2.%3.%4.%5.%6.%7.%8."/>
      <w:lvlJc w:val="left"/>
      <w:pPr>
        <w:ind w:left="2936" w:hanging="1800"/>
      </w:pPr>
      <w:rPr>
        <w:rFonts w:cs="Times New Roman" w:hint="default"/>
      </w:rPr>
    </w:lvl>
    <w:lvl w:ilvl="8">
      <w:start w:val="1"/>
      <w:numFmt w:val="decimal"/>
      <w:isLgl/>
      <w:lvlText w:val="%1.%2.%3.%4.%5.%6.%7.%8.%9."/>
      <w:lvlJc w:val="left"/>
      <w:pPr>
        <w:ind w:left="3078" w:hanging="1800"/>
      </w:pPr>
      <w:rPr>
        <w:rFonts w:cs="Times New Roman" w:hint="default"/>
      </w:rPr>
    </w:lvl>
  </w:abstractNum>
  <w:abstractNum w:abstractNumId="5" w15:restartNumberingAfterBreak="0">
    <w:nsid w:val="51C2526D"/>
    <w:multiLevelType w:val="multilevel"/>
    <w:tmpl w:val="5150D74E"/>
    <w:lvl w:ilvl="0">
      <w:start w:val="3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 w:hint="default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 w:hint="default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 w:hint="default"/>
      </w:r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 w:hint="default"/>
      </w:r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 w:hint="default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 w:hint="default"/>
      </w:r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 w:hint="default"/>
      </w:r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 w:hint="default"/>
      </w:rPr>
    </w:lvl>
  </w:abstractNum>
  <w:abstractNum w:abstractNumId="6" w15:restartNumberingAfterBreak="0">
    <w:nsid w:val="6E4404F0"/>
    <w:multiLevelType w:val="hybridMultilevel"/>
    <w:tmpl w:val="28546560"/>
    <w:lvl w:ilvl="0" w:tplc="51D6E9C8">
      <w:start w:val="1"/>
      <w:numFmt w:val="bullet"/>
      <w:lvlText w:val="-"/>
      <w:lvlJc w:val="left"/>
      <w:pPr>
        <w:ind w:left="720" w:hanging="360"/>
      </w:pPr>
      <w:rPr>
        <w:rFonts w:ascii="Arial" w:hAnsi="Arial" w:hint="default"/>
      </w:rPr>
    </w:lvl>
    <w:lvl w:ilvl="1" w:tplc="0C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C0A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C0A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C0A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763A57AA"/>
    <w:multiLevelType w:val="multilevel"/>
    <w:tmpl w:val="6A769036"/>
    <w:lvl w:ilvl="0">
      <w:start w:val="61"/>
      <w:numFmt w:val="decimal"/>
      <w:lvlText w:val="%1."/>
      <w:lvlJc w:val="left"/>
      <w:pPr>
        <w:ind w:left="502" w:hanging="360"/>
      </w:pPr>
      <w:rPr>
        <w:rFonts w:cs="Times New Roman" w:hint="default"/>
      </w:rPr>
    </w:lvl>
    <w:lvl w:ilvl="1">
      <w:start w:val="1"/>
      <w:numFmt w:val="decimal"/>
      <w:isLgl/>
      <w:lvlText w:val="%1.%2."/>
      <w:lvlJc w:val="left"/>
      <w:pPr>
        <w:ind w:left="1004" w:hanging="720"/>
      </w:pPr>
      <w:rPr>
        <w:rFonts w:cs="Times New Roman" w:hint="default"/>
      </w:rPr>
    </w:lvl>
    <w:lvl w:ilvl="2">
      <w:start w:val="1"/>
      <w:numFmt w:val="decimal"/>
      <w:isLgl/>
      <w:lvlText w:val="%1.%2.%3."/>
      <w:lvlJc w:val="left"/>
      <w:pPr>
        <w:ind w:left="1146" w:hanging="720"/>
      </w:pPr>
      <w:rPr>
        <w:rFonts w:cs="Times New Roman" w:hint="default"/>
      </w:rPr>
    </w:lvl>
    <w:lvl w:ilvl="3">
      <w:start w:val="1"/>
      <w:numFmt w:val="decimal"/>
      <w:isLgl/>
      <w:lvlText w:val="%1.%2.%3.%4."/>
      <w:lvlJc w:val="left"/>
      <w:pPr>
        <w:ind w:left="1648" w:hanging="1080"/>
      </w:pPr>
      <w:rPr>
        <w:rFonts w:cs="Times New Roman" w:hint="default"/>
      </w:rPr>
    </w:lvl>
    <w:lvl w:ilvl="4">
      <w:start w:val="1"/>
      <w:numFmt w:val="decimal"/>
      <w:isLgl/>
      <w:lvlText w:val="%1.%2.%3.%4.%5."/>
      <w:lvlJc w:val="left"/>
      <w:pPr>
        <w:ind w:left="1790" w:hanging="1080"/>
      </w:pPr>
      <w:rPr>
        <w:rFonts w:cs="Times New Roman" w:hint="default"/>
      </w:rPr>
    </w:lvl>
    <w:lvl w:ilvl="5">
      <w:start w:val="1"/>
      <w:numFmt w:val="decimal"/>
      <w:isLgl/>
      <w:lvlText w:val="%1.%2.%3.%4.%5.%6."/>
      <w:lvlJc w:val="left"/>
      <w:pPr>
        <w:ind w:left="2292" w:hanging="1440"/>
      </w:pPr>
      <w:rPr>
        <w:rFonts w:cs="Times New Roman" w:hint="default"/>
      </w:rPr>
    </w:lvl>
    <w:lvl w:ilvl="6">
      <w:start w:val="1"/>
      <w:numFmt w:val="decimal"/>
      <w:isLgl/>
      <w:lvlText w:val="%1.%2.%3.%4.%5.%6.%7."/>
      <w:lvlJc w:val="left"/>
      <w:pPr>
        <w:ind w:left="2434" w:hanging="1440"/>
      </w:pPr>
      <w:rPr>
        <w:rFonts w:cs="Times New Roman" w:hint="default"/>
      </w:rPr>
    </w:lvl>
    <w:lvl w:ilvl="7">
      <w:start w:val="1"/>
      <w:numFmt w:val="decimal"/>
      <w:isLgl/>
      <w:lvlText w:val="%1.%2.%3.%4.%5.%6.%7.%8."/>
      <w:lvlJc w:val="left"/>
      <w:pPr>
        <w:ind w:left="2936" w:hanging="1800"/>
      </w:pPr>
      <w:rPr>
        <w:rFonts w:cs="Times New Roman" w:hint="default"/>
      </w:rPr>
    </w:lvl>
    <w:lvl w:ilvl="8">
      <w:start w:val="1"/>
      <w:numFmt w:val="decimal"/>
      <w:isLgl/>
      <w:lvlText w:val="%1.%2.%3.%4.%5.%6.%7.%8.%9."/>
      <w:lvlJc w:val="left"/>
      <w:pPr>
        <w:ind w:left="3078" w:hanging="1800"/>
      </w:pPr>
      <w:rPr>
        <w:rFonts w:cs="Times New Roman" w:hint="default"/>
      </w:rPr>
    </w:lvl>
  </w:abstractNum>
  <w:num w:numId="1">
    <w:abstractNumId w:val="2"/>
  </w:num>
  <w:num w:numId="2">
    <w:abstractNumId w:val="5"/>
  </w:num>
  <w:num w:numId="3">
    <w:abstractNumId w:val="4"/>
  </w:num>
  <w:num w:numId="4">
    <w:abstractNumId w:val="0"/>
  </w:num>
  <w:num w:numId="5">
    <w:abstractNumId w:val="7"/>
  </w:num>
  <w:num w:numId="6">
    <w:abstractNumId w:val="3"/>
  </w:num>
  <w:num w:numId="7">
    <w:abstractNumId w:val="6"/>
  </w:num>
  <w:num w:numId="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70"/>
  <w:embedSystemFonts/>
  <w:defaultTabStop w:val="708"/>
  <w:hyphenationZone w:val="425"/>
  <w:doNotHyphenateCaps/>
  <w:characterSpacingControl w:val="doNotCompress"/>
  <w:doNotValidateAgainstSchema/>
  <w:doNotDemarcateInvalidXml/>
  <w:hdrShapeDefaults>
    <o:shapedefaults v:ext="edit" spidmax="205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927EF"/>
    <w:rsid w:val="00017B99"/>
    <w:rsid w:val="000454C8"/>
    <w:rsid w:val="001012AD"/>
    <w:rsid w:val="00117566"/>
    <w:rsid w:val="00127681"/>
    <w:rsid w:val="0013009E"/>
    <w:rsid w:val="002B22FF"/>
    <w:rsid w:val="002E004A"/>
    <w:rsid w:val="002F4226"/>
    <w:rsid w:val="0033679A"/>
    <w:rsid w:val="003506E3"/>
    <w:rsid w:val="003C4F1F"/>
    <w:rsid w:val="003E16FE"/>
    <w:rsid w:val="00461463"/>
    <w:rsid w:val="004C359E"/>
    <w:rsid w:val="005866D9"/>
    <w:rsid w:val="006275E0"/>
    <w:rsid w:val="00656836"/>
    <w:rsid w:val="006C1238"/>
    <w:rsid w:val="006E0725"/>
    <w:rsid w:val="007F0ACF"/>
    <w:rsid w:val="007F3C95"/>
    <w:rsid w:val="008027C4"/>
    <w:rsid w:val="00823C3B"/>
    <w:rsid w:val="008F1174"/>
    <w:rsid w:val="00973461"/>
    <w:rsid w:val="009921B2"/>
    <w:rsid w:val="009A6D0C"/>
    <w:rsid w:val="009E1E30"/>
    <w:rsid w:val="00A76F11"/>
    <w:rsid w:val="00A927EF"/>
    <w:rsid w:val="00AE3656"/>
    <w:rsid w:val="00B3783E"/>
    <w:rsid w:val="00B70CE3"/>
    <w:rsid w:val="00B7751F"/>
    <w:rsid w:val="00BC6A4B"/>
    <w:rsid w:val="00C20C65"/>
    <w:rsid w:val="00C43026"/>
    <w:rsid w:val="00C453A4"/>
    <w:rsid w:val="00C839D1"/>
    <w:rsid w:val="00CB6C93"/>
    <w:rsid w:val="00CD6558"/>
    <w:rsid w:val="00CF114A"/>
    <w:rsid w:val="00D3471E"/>
    <w:rsid w:val="00DA4116"/>
    <w:rsid w:val="00DB4C8B"/>
    <w:rsid w:val="00E13EB4"/>
    <w:rsid w:val="00E14F78"/>
    <w:rsid w:val="00F3687D"/>
    <w:rsid w:val="00F61710"/>
    <w:rsid w:val="00F872AF"/>
    <w:rsid w:val="00FC3EBC"/>
    <w:rsid w:val="00FF09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martTagType w:namespaceuri="urn:schemas-microsoft-com:office:smarttags" w:name="PersonName"/>
  <w:shapeDefaults>
    <o:shapedefaults v:ext="edit" spidmax="2051"/>
    <o:shapelayout v:ext="edit">
      <o:idmap v:ext="edit" data="1"/>
    </o:shapelayout>
  </w:shapeDefaults>
  <w:decimalSymbol w:val=","/>
  <w:listSeparator w:val=";"/>
  <w15:docId w15:val="{54312662-BE25-468F-B83C-2C303436AD8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Times New Roman"/>
        <w:sz w:val="22"/>
        <w:szCs w:val="22"/>
        <w:lang w:val="es-ES" w:eastAsia="es-ES" w:bidi="ar-SA"/>
      </w:rPr>
    </w:rPrDefault>
    <w:pPrDefault/>
  </w:docDefaults>
  <w:latentStyles w:defLockedState="0" w:defUIPriority="99" w:defSemiHidden="0" w:defUnhideWhenUsed="0" w:defQFormat="0" w:count="371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uiPriority="0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locked="1" w:uiPriority="0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A927EF"/>
    <w:pPr>
      <w:spacing w:after="160" w:line="259" w:lineRule="auto"/>
    </w:pPr>
    <w:rPr>
      <w:rFonts w:cs="Calibri"/>
      <w:lang w:eastAsia="en-US"/>
    </w:rPr>
  </w:style>
  <w:style w:type="paragraph" w:styleId="Ttulo3">
    <w:name w:val="heading 3"/>
    <w:basedOn w:val="Normal"/>
    <w:next w:val="Normal"/>
    <w:link w:val="Ttulo3Car"/>
    <w:uiPriority w:val="99"/>
    <w:qFormat/>
    <w:locked/>
    <w:rsid w:val="00117566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3Car">
    <w:name w:val="Título 3 Car"/>
    <w:basedOn w:val="Fuentedeprrafopredeter"/>
    <w:link w:val="Ttulo3"/>
    <w:uiPriority w:val="99"/>
    <w:semiHidden/>
    <w:locked/>
    <w:rPr>
      <w:rFonts w:ascii="Cambria" w:hAnsi="Cambria" w:cs="Times New Roman"/>
      <w:b/>
      <w:bCs/>
      <w:sz w:val="26"/>
      <w:szCs w:val="26"/>
      <w:lang w:eastAsia="en-US"/>
    </w:rPr>
  </w:style>
  <w:style w:type="paragraph" w:styleId="Prrafodelista">
    <w:name w:val="List Paragraph"/>
    <w:basedOn w:val="Normal"/>
    <w:uiPriority w:val="99"/>
    <w:qFormat/>
    <w:rsid w:val="00A927EF"/>
    <w:pPr>
      <w:spacing w:after="0" w:line="240" w:lineRule="auto"/>
    </w:pPr>
    <w:rPr>
      <w:rFonts w:ascii="Times New Roman" w:hAnsi="Times New Roman" w:cs="Times New Roman"/>
      <w:sz w:val="24"/>
      <w:szCs w:val="24"/>
      <w:lang w:eastAsia="es-ES"/>
    </w:rPr>
  </w:style>
  <w:style w:type="paragraph" w:customStyle="1" w:styleId="Pa6">
    <w:name w:val="Pa6"/>
    <w:basedOn w:val="Normal"/>
    <w:next w:val="Normal"/>
    <w:uiPriority w:val="99"/>
    <w:rsid w:val="00E14F78"/>
    <w:pPr>
      <w:autoSpaceDE w:val="0"/>
      <w:autoSpaceDN w:val="0"/>
      <w:adjustRightInd w:val="0"/>
      <w:spacing w:after="0" w:line="201" w:lineRule="atLeast"/>
    </w:pPr>
    <w:rPr>
      <w:rFonts w:ascii="Arial" w:hAnsi="Arial" w:cs="Arial"/>
      <w:sz w:val="24"/>
      <w:szCs w:val="24"/>
    </w:rPr>
  </w:style>
  <w:style w:type="paragraph" w:styleId="Encabezado">
    <w:name w:val="header"/>
    <w:basedOn w:val="Normal"/>
    <w:link w:val="EncabezadoCar"/>
    <w:uiPriority w:val="99"/>
    <w:rsid w:val="00F3687D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locked/>
    <w:rsid w:val="00F3687D"/>
    <w:rPr>
      <w:rFonts w:cs="Times New Roman"/>
    </w:rPr>
  </w:style>
  <w:style w:type="paragraph" w:styleId="Piedepgina">
    <w:name w:val="footer"/>
    <w:basedOn w:val="Normal"/>
    <w:link w:val="PiedepginaCar"/>
    <w:uiPriority w:val="99"/>
    <w:rsid w:val="00F3687D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locked/>
    <w:rsid w:val="00F3687D"/>
    <w:rPr>
      <w:rFonts w:cs="Times New Roman"/>
    </w:rPr>
  </w:style>
  <w:style w:type="table" w:styleId="Tablaconcuadrcula">
    <w:name w:val="Table Grid"/>
    <w:basedOn w:val="Tablanormal"/>
    <w:uiPriority w:val="99"/>
    <w:rsid w:val="00CF114A"/>
    <w:rPr>
      <w:rFonts w:cs="Calibri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47668198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668199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66819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66819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668199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969</Words>
  <Characters>5335</Characters>
  <Application>Microsoft Office Word</Application>
  <DocSecurity>0</DocSecurity>
  <Lines>44</Lines>
  <Paragraphs>12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ANEXO I</vt:lpstr>
    </vt:vector>
  </TitlesOfParts>
  <Company>Gobierno de Cantabria</Company>
  <LinksUpToDate>false</LinksUpToDate>
  <CharactersWithSpaces>6292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ANEXO I</dc:title>
  <dc:subject/>
  <dc:creator>Torre Cobo José Luis</dc:creator>
  <cp:keywords/>
  <dc:description/>
  <cp:lastModifiedBy>Pérez Aguilar Óscar Fernando</cp:lastModifiedBy>
  <cp:revision>2</cp:revision>
  <dcterms:created xsi:type="dcterms:W3CDTF">2019-04-15T09:35:00Z</dcterms:created>
  <dcterms:modified xsi:type="dcterms:W3CDTF">2019-04-15T09:35:00Z</dcterms:modified>
</cp:coreProperties>
</file>