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ANEXO I</w:t>
      </w: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 xml:space="preserve">CUERPO </w:t>
      </w:r>
      <w:r w:rsidR="004B69EF">
        <w:rPr>
          <w:rFonts w:ascii="Arial" w:hAnsi="Arial" w:cs="Arial"/>
          <w:b/>
          <w:bCs/>
          <w:u w:val="single"/>
        </w:rPr>
        <w:t xml:space="preserve">DE DIPLOMADOS Y TÉCNICOS MEDIOS </w:t>
      </w:r>
      <w:r w:rsidRPr="003506E3">
        <w:rPr>
          <w:rFonts w:ascii="Arial" w:hAnsi="Arial" w:cs="Arial"/>
          <w:b/>
          <w:bCs/>
          <w:u w:val="single"/>
        </w:rPr>
        <w:t xml:space="preserve"> </w:t>
      </w: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EF42AD" w:rsidRPr="003506E3" w:rsidRDefault="00E10184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TERAPIA OCUPACIONAL</w:t>
      </w: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>MATERIAS ESPECÍFICAS</w:t>
      </w:r>
    </w:p>
    <w:p w:rsidR="00EF42AD" w:rsidRPr="0020468E" w:rsidRDefault="00EF42AD" w:rsidP="0020468E">
      <w:pPr>
        <w:spacing w:after="120" w:line="240" w:lineRule="auto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bookmarkStart w:id="0" w:name="_GoBack"/>
      <w:bookmarkEnd w:id="0"/>
    </w:p>
    <w:p w:rsidR="00EF42AD" w:rsidRPr="0020468E" w:rsidRDefault="00EF42AD" w:rsidP="0020468E">
      <w:pPr>
        <w:spacing w:after="120" w:line="240" w:lineRule="auto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:rsidR="00EF42AD" w:rsidRPr="0020468E" w:rsidRDefault="00E10184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Epidemiología: concepto. Enfermedades transmisibles de mayor incidencia en la población española: tipos y características. Enfermedades de declaración obligatoria.</w:t>
      </w:r>
    </w:p>
    <w:p w:rsidR="00E10184" w:rsidRPr="0020468E" w:rsidRDefault="00E10184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Salud pública: concepto. Salud y enfermedad: concepto. Indicadores de salud por edad y sexo: morbilidad, mortalidad, letalidad y esperanza de vida.</w:t>
      </w:r>
    </w:p>
    <w:p w:rsidR="00E10184" w:rsidRPr="0020468E" w:rsidRDefault="00E10184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Definición de terapia ocupacional. El desarrollo de la terapia ocupacional en España.</w:t>
      </w:r>
    </w:p>
    <w:p w:rsidR="00E10184" w:rsidRPr="0020468E" w:rsidRDefault="00E10184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Bases conceptuales de terapia ocupacional: conceptos básicos, paradigma de la terapia ocupacional.</w:t>
      </w:r>
    </w:p>
    <w:p w:rsidR="00E10184" w:rsidRPr="0020468E" w:rsidRDefault="00E10184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Marcos de referencia primarios: fisiológico, psicológico y humanista.</w:t>
      </w:r>
    </w:p>
    <w:p w:rsidR="00E10184" w:rsidRPr="0020468E" w:rsidRDefault="00E10184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 xml:space="preserve">Marcos de referencia aplicados en la disfunción física: biomecánico, </w:t>
      </w:r>
      <w:proofErr w:type="spellStart"/>
      <w:r w:rsidRPr="0020468E">
        <w:rPr>
          <w:rFonts w:ascii="Arial" w:hAnsi="Arial" w:cs="Arial"/>
          <w:sz w:val="20"/>
          <w:szCs w:val="20"/>
        </w:rPr>
        <w:t>neurodesarrollo</w:t>
      </w:r>
      <w:proofErr w:type="spellEnd"/>
      <w:r w:rsidRPr="0020468E">
        <w:rPr>
          <w:rFonts w:ascii="Arial" w:hAnsi="Arial" w:cs="Arial"/>
          <w:sz w:val="20"/>
          <w:szCs w:val="20"/>
        </w:rPr>
        <w:t>, cognitivo perceptivo.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Marcos de referencia aplicados en la disfunción psicosocial: conductual, cognitivo-conductual, psicodinámico y humanista.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 xml:space="preserve">Modelos propios de terapia ocupacional: MOHO, modelo canadiense de desempeño ocupacional, modelo de discapacidad de Allen, modelo del funcionamiento ocupacional de </w:t>
      </w:r>
      <w:proofErr w:type="spellStart"/>
      <w:r w:rsidRPr="0020468E">
        <w:rPr>
          <w:rFonts w:ascii="Arial" w:hAnsi="Arial" w:cs="Arial"/>
          <w:sz w:val="20"/>
          <w:szCs w:val="20"/>
        </w:rPr>
        <w:t>Trombly</w:t>
      </w:r>
      <w:proofErr w:type="spellEnd"/>
      <w:r w:rsidRPr="0020468E">
        <w:rPr>
          <w:rFonts w:ascii="Arial" w:hAnsi="Arial" w:cs="Arial"/>
          <w:sz w:val="20"/>
          <w:szCs w:val="20"/>
        </w:rPr>
        <w:t xml:space="preserve">. Otros modelos en desarrollo: Reed&amp; </w:t>
      </w:r>
      <w:proofErr w:type="spellStart"/>
      <w:r w:rsidRPr="0020468E">
        <w:rPr>
          <w:rFonts w:ascii="Arial" w:hAnsi="Arial" w:cs="Arial"/>
          <w:sz w:val="20"/>
          <w:szCs w:val="20"/>
        </w:rPr>
        <w:t>Sanderson</w:t>
      </w:r>
      <w:proofErr w:type="spellEnd"/>
      <w:r w:rsidRPr="0020468E">
        <w:rPr>
          <w:rFonts w:ascii="Arial" w:hAnsi="Arial" w:cs="Arial"/>
          <w:sz w:val="20"/>
          <w:szCs w:val="20"/>
        </w:rPr>
        <w:t xml:space="preserve">; </w:t>
      </w:r>
      <w:proofErr w:type="spellStart"/>
      <w:r w:rsidRPr="0020468E">
        <w:rPr>
          <w:rFonts w:ascii="Arial" w:hAnsi="Arial" w:cs="Arial"/>
          <w:sz w:val="20"/>
          <w:szCs w:val="20"/>
        </w:rPr>
        <w:t>Reilly</w:t>
      </w:r>
      <w:proofErr w:type="spellEnd"/>
      <w:r w:rsidRPr="0020468E">
        <w:rPr>
          <w:rFonts w:ascii="Arial" w:hAnsi="Arial" w:cs="Arial"/>
          <w:sz w:val="20"/>
          <w:szCs w:val="20"/>
        </w:rPr>
        <w:t>, M.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Concepto de ocupación. Diferencias entre ocupación, actividad y tarea.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Rol, competencias y funciones del terapeuta ocupacional en el equipo interdisciplinar en los diferentes ámbitos de intervención.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Evaluación en terapia ocupacional. Diferencias entre evaluación y valoración. Evaluación inicial, durante y al final de la intervención.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Abordajes de intervención en terapia ocupacional: promoción de la salud, restauración, mantenimiento, modificación y prevención de la discapacidad.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 xml:space="preserve">Métodos e instrumentos para valoración sensitiva y sensorial. Tacto superficial. Dolor. Temperatura. Parestesia. Tacto en movimiento. Discriminación de dos puntos estáticos y en movimiento. </w:t>
      </w:r>
      <w:proofErr w:type="spellStart"/>
      <w:r w:rsidRPr="0020468E">
        <w:rPr>
          <w:rFonts w:ascii="Arial" w:hAnsi="Arial" w:cs="Arial"/>
          <w:sz w:val="20"/>
          <w:szCs w:val="20"/>
        </w:rPr>
        <w:t>Esterognosia</w:t>
      </w:r>
      <w:proofErr w:type="spellEnd"/>
      <w:r w:rsidRPr="0020468E">
        <w:rPr>
          <w:rFonts w:ascii="Arial" w:hAnsi="Arial" w:cs="Arial"/>
          <w:sz w:val="20"/>
          <w:szCs w:val="20"/>
        </w:rPr>
        <w:t>. Propiocepción. Cinestesia. Monofilamentos.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Análisis de la actividad. Modelos para el análisis de la actividad. La graduación de la actividad.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Actividades de la vida diaria: definición y clasificación. Relación con la terapia ocupacional. Instrumentos estandarizados para su valoración.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Educación para la salud individual, grupal y comunitaria en terapia ocupacional: concepto, metodología y técnicas didácticas.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Ocio en terapia ocupacional. Planificación e intervención en el tiempo de ocio. El juego en la infancia. Importancia del juego en la terapia ocupacional.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lastRenderedPageBreak/>
        <w:t>Alteraciones congénitas del aparato locomotor (I). Agenesia bilateral de miembros superiores: utilización y manejo de prótesis. Agenesia unilateral de miembros superiores: utilización y manejo de prótesis. Agenesia bilateral de miembros inferiores: utilización y manejo de prótesis, silla de ruedas y bastones.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 xml:space="preserve">Alteraciones congénitas del aparato locomotor (II). Agenesia vertebral y Escoliosis congénita: manejo de </w:t>
      </w:r>
      <w:proofErr w:type="spellStart"/>
      <w:r w:rsidRPr="0020468E">
        <w:rPr>
          <w:rFonts w:ascii="Arial" w:hAnsi="Arial" w:cs="Arial"/>
          <w:sz w:val="20"/>
          <w:szCs w:val="20"/>
        </w:rPr>
        <w:t>órtesis</w:t>
      </w:r>
      <w:proofErr w:type="spellEnd"/>
      <w:r w:rsidRPr="0020468E">
        <w:rPr>
          <w:rFonts w:ascii="Arial" w:hAnsi="Arial" w:cs="Arial"/>
          <w:sz w:val="20"/>
          <w:szCs w:val="20"/>
        </w:rPr>
        <w:t>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 xml:space="preserve">Evaluaciones de la función física. Métodos e instrumentos de valoración articular. Arco de movimiento articular. Goniómetro. Métodos e instrumentos de valoración muscular. Examen muscular manual. Escalas de calificación. Métodos e instrumentos de valoración de la fuerza manual y pinza digital. Dinamómetro. </w:t>
      </w:r>
      <w:proofErr w:type="spellStart"/>
      <w:r w:rsidRPr="0020468E">
        <w:rPr>
          <w:rFonts w:ascii="Arial" w:hAnsi="Arial" w:cs="Arial"/>
          <w:sz w:val="20"/>
          <w:szCs w:val="20"/>
        </w:rPr>
        <w:t>Pinzómetro</w:t>
      </w:r>
      <w:proofErr w:type="spellEnd"/>
      <w:r w:rsidRPr="0020468E">
        <w:rPr>
          <w:rFonts w:ascii="Arial" w:hAnsi="Arial" w:cs="Arial"/>
          <w:sz w:val="20"/>
          <w:szCs w:val="20"/>
        </w:rPr>
        <w:t>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Planificación e Intervención en la rehabilitación de los trastornos sensitivos.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Planificación e intervención en los trastornos neurológicos: Traumatismos cráneo-encefálicos. Accidentes cerebro-vasculares.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Planificación e intervención en los trastornos neurológicos: Enfermedades neurodegenerativas. Lesiones medulares. Lesiones de nervios periféricos.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Fisiopatología del envejecimiento: envejecimiento fisiológico y patológico. Valoración geriátrica integral: papel del terapeuta ocupacional.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Planificación e intervención de la terapia ocupacional en los síndromes geriátricos de mayor incidencia: deterioro funcional, inmovilismo, caídas, incontinencia urinaria y demencia.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Productos de apoyo en actividades básicas de la vida diaria (ABVD).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Relaciones del terapeuta ocupacional con los familiares de las personas usuarias. Modelos de intervención con las familias.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 xml:space="preserve">Planificación e intervención de la terapia ocupacional en las personas afectadas de esclerosis múltiple, Parkinson, enfermedad de la </w:t>
      </w:r>
      <w:proofErr w:type="spellStart"/>
      <w:r w:rsidRPr="0020468E">
        <w:rPr>
          <w:rFonts w:ascii="Arial" w:hAnsi="Arial" w:cs="Arial"/>
          <w:sz w:val="20"/>
          <w:szCs w:val="20"/>
        </w:rPr>
        <w:t>motoneurona</w:t>
      </w:r>
      <w:proofErr w:type="spellEnd"/>
      <w:r w:rsidRPr="0020468E">
        <w:rPr>
          <w:rFonts w:ascii="Arial" w:hAnsi="Arial" w:cs="Arial"/>
          <w:sz w:val="20"/>
          <w:szCs w:val="20"/>
        </w:rPr>
        <w:t>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 xml:space="preserve">Trastornos neuropsicológicos. Déficit de percepción visual y agnosias. Déficits espaciales. Apraxias. Trastornos de la atención. Problemas de memoria. Valoración </w:t>
      </w:r>
      <w:proofErr w:type="spellStart"/>
      <w:r w:rsidRPr="0020468E">
        <w:rPr>
          <w:rFonts w:ascii="Arial" w:hAnsi="Arial" w:cs="Arial"/>
          <w:sz w:val="20"/>
          <w:szCs w:val="20"/>
        </w:rPr>
        <w:t>neurocognitiva</w:t>
      </w:r>
      <w:proofErr w:type="spellEnd"/>
      <w:r w:rsidRPr="0020468E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20468E">
        <w:rPr>
          <w:rFonts w:ascii="Arial" w:hAnsi="Arial" w:cs="Arial"/>
          <w:sz w:val="20"/>
          <w:szCs w:val="20"/>
        </w:rPr>
        <w:t>Lotca</w:t>
      </w:r>
      <w:proofErr w:type="spellEnd"/>
      <w:r w:rsidRPr="0020468E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20468E">
        <w:rPr>
          <w:rFonts w:ascii="Arial" w:hAnsi="Arial" w:cs="Arial"/>
          <w:sz w:val="20"/>
          <w:szCs w:val="20"/>
        </w:rPr>
        <w:t>Cotnab</w:t>
      </w:r>
      <w:proofErr w:type="spellEnd"/>
      <w:r w:rsidRPr="0020468E">
        <w:rPr>
          <w:rFonts w:ascii="Arial" w:hAnsi="Arial" w:cs="Arial"/>
          <w:sz w:val="20"/>
          <w:szCs w:val="20"/>
        </w:rPr>
        <w:t>.). Planificación e Intervención.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Planificación e intervención de la terapia ocupacional en la enfermedad cardiaca y respiratoria.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 xml:space="preserve">Planificación e intervención de la terapia ocupacional en la patología de origen reumatológico, </w:t>
      </w:r>
      <w:proofErr w:type="spellStart"/>
      <w:r w:rsidRPr="0020468E">
        <w:rPr>
          <w:rFonts w:ascii="Arial" w:hAnsi="Arial" w:cs="Arial"/>
          <w:sz w:val="20"/>
          <w:szCs w:val="20"/>
        </w:rPr>
        <w:t>osteo</w:t>
      </w:r>
      <w:proofErr w:type="spellEnd"/>
      <w:r w:rsidRPr="0020468E">
        <w:rPr>
          <w:rFonts w:ascii="Arial" w:hAnsi="Arial" w:cs="Arial"/>
          <w:sz w:val="20"/>
          <w:szCs w:val="20"/>
        </w:rPr>
        <w:t>-articular y de partes blandas: artritis, artrosis y osteoporosis.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Planificación e intervención en terapia ocupacional en las patologías de salud mental más frecuentes: esquizofrenia, trastorno bipolar, trastornos del ánimo y trastorno de la personalidad.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Terapia Ocupacional en los Programas de Entrenamiento en Habilidades Sociales (HHSS). Líneas actuales y definición de las HHSS. Importancia del entrenamiento de las HHSS. Principios del aprendizaje en HHSS. Evaluación y planteamiento de objetivos en HHSS.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Sistemas de comunicación aumentativa y alternativa.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Terapia Ocupacional en Cuidados Paliativos. Atención integral no farmacológica.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Planificación e intervención de la terapia ocupacional en pérdidas sensoriales: visuales y auditivas.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lastRenderedPageBreak/>
        <w:t>Estimulación cognitiva en terapia ocupacional.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Planificación e intervención en rehabilitación infantil: Principios básicos para el manejo del niño.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Planificación e intervención en rehabilitación infantil: Retraso psicomotor y trastornos del aprendizaje.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Clasificación Internacional del Funcionamiento, de la discapacidad y de la salud (CIF): Objetivos, propiedades y aplicaciones.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proofErr w:type="spellStart"/>
      <w:r w:rsidRPr="0020468E">
        <w:rPr>
          <w:rFonts w:ascii="Arial" w:hAnsi="Arial" w:cs="Arial"/>
          <w:sz w:val="20"/>
          <w:szCs w:val="20"/>
        </w:rPr>
        <w:t>Órtesis</w:t>
      </w:r>
      <w:proofErr w:type="spellEnd"/>
      <w:r w:rsidRPr="0020468E">
        <w:rPr>
          <w:rFonts w:ascii="Arial" w:hAnsi="Arial" w:cs="Arial"/>
          <w:sz w:val="20"/>
          <w:szCs w:val="20"/>
        </w:rPr>
        <w:t xml:space="preserve"> y Prótesis: concepto, clasificación, funciones y mecanismos de acción.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Adaptación del Entorno: Criterios de Accesibilidad (escaleras y rampas, puertas y pasillos, cuarto de baño o aseo, cocina, salón, dormitorio). Adaptaciones ambientales. Prevención de accidentes. Domótica.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Intervención sobre el entorno. Evaluación del entorno: datos sociodemográficos. Valoración de la vivienda, puesto de trabajo y del entorno. Barreras físicas, arquitectónicas y psicosociales.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Ergonomía: Definición y objetivos. Aplicación en terapia ocupacional.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Concepto de adaptaciones y productos de apoyo. Criterios de selección. Productos de apoyo en ocio y tiempo libre, material escolar e informático.</w:t>
      </w:r>
    </w:p>
    <w:p w:rsidR="009175DC" w:rsidRPr="0020468E" w:rsidRDefault="009175DC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Planificación e intervención en discapacidad intelectual.</w:t>
      </w:r>
    </w:p>
    <w:p w:rsidR="009175DC" w:rsidRPr="0020468E" w:rsidRDefault="008F08F7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Productos de apoyo para la movilidad y el transporte. Clasificación, funciones y criterios de selección.</w:t>
      </w:r>
    </w:p>
    <w:p w:rsidR="008F08F7" w:rsidRPr="0020468E" w:rsidRDefault="008F08F7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Género y salud. Violencia de género. Malos Tratos: Detección y prevención. Desigualdades sociales en salud.</w:t>
      </w:r>
    </w:p>
    <w:p w:rsidR="008F08F7" w:rsidRPr="0020468E" w:rsidRDefault="008F08F7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Ley de Cantabria 2/2007 de derechos y servicios sociales. Disposiciones generales. Derechos y deberes. Sistema público de servicios sociales. Definición y principios rectores. Ordenación funcional y territorial. Cartera de servicios sociales. Financiación, gestión y planificación del servicio público de servicios sociales. Régimen competencial. Participación, condiciones de prestación de los servicios sociales. Formación e investigación. Inspección.</w:t>
      </w:r>
    </w:p>
    <w:p w:rsidR="008F08F7" w:rsidRPr="0020468E" w:rsidRDefault="008F08F7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Promoción de la ley de autonomía y atención a las personas en situación de dependencia 39/2006: El sistema para la autonomía y atención para la dependencia (Título I).</w:t>
      </w:r>
    </w:p>
    <w:p w:rsidR="008F08F7" w:rsidRPr="0020468E" w:rsidRDefault="008F08F7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Marco normativo de la CCAA de Cantabria. ORDEN SAN/26/2007, de 7 de mayo, por la que se regulan los procedimientos para el reconocimiento de la situación de dependencia y del derecho a las prestaciones del sistema para la autonomía y atención a la dependencia.</w:t>
      </w:r>
    </w:p>
    <w:p w:rsidR="008F08F7" w:rsidRPr="0020468E" w:rsidRDefault="008F08F7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Productos de apoyo. Normativa y recursos en Cantabria.</w:t>
      </w:r>
    </w:p>
    <w:p w:rsidR="008F08F7" w:rsidRPr="0020468E" w:rsidRDefault="008F08F7" w:rsidP="0020468E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20468E">
        <w:rPr>
          <w:rFonts w:ascii="Arial" w:hAnsi="Arial" w:cs="Arial"/>
          <w:sz w:val="20"/>
          <w:szCs w:val="20"/>
        </w:rPr>
        <w:t>Derechos de las personas con discapacidad. Ley de Cantabria 9/2018 Garantía de los derechos de las personas con discapacidad.</w:t>
      </w:r>
    </w:p>
    <w:p w:rsidR="00E10184" w:rsidRPr="0020468E" w:rsidRDefault="00E10184" w:rsidP="0020468E">
      <w:pPr>
        <w:spacing w:after="120" w:line="240" w:lineRule="auto"/>
        <w:ind w:left="1247"/>
        <w:jc w:val="both"/>
        <w:outlineLvl w:val="0"/>
        <w:rPr>
          <w:rFonts w:ascii="Arial" w:hAnsi="Arial" w:cs="Arial"/>
          <w:sz w:val="20"/>
          <w:szCs w:val="20"/>
        </w:rPr>
      </w:pPr>
    </w:p>
    <w:p w:rsidR="00E10184" w:rsidRPr="0020468E" w:rsidRDefault="00E10184" w:rsidP="0020468E">
      <w:pPr>
        <w:spacing w:after="120"/>
        <w:jc w:val="both"/>
        <w:rPr>
          <w:rFonts w:ascii="Arial" w:hAnsi="Arial" w:cs="Arial"/>
          <w:sz w:val="20"/>
          <w:szCs w:val="20"/>
        </w:rPr>
      </w:pPr>
    </w:p>
    <w:p w:rsidR="00E10184" w:rsidRPr="0020468E" w:rsidRDefault="00E10184" w:rsidP="0020468E">
      <w:pPr>
        <w:spacing w:after="120"/>
        <w:jc w:val="both"/>
        <w:rPr>
          <w:rFonts w:ascii="Arial" w:hAnsi="Arial" w:cs="Arial"/>
          <w:sz w:val="20"/>
          <w:szCs w:val="20"/>
        </w:rPr>
      </w:pPr>
    </w:p>
    <w:p w:rsidR="00E10184" w:rsidRDefault="00E10184" w:rsidP="00E10184">
      <w:pPr>
        <w:spacing w:after="120" w:line="240" w:lineRule="auto"/>
        <w:ind w:left="1247"/>
        <w:jc w:val="both"/>
        <w:outlineLvl w:val="0"/>
        <w:rPr>
          <w:rFonts w:ascii="Arial" w:hAnsi="Arial" w:cs="Arial"/>
          <w:sz w:val="20"/>
          <w:szCs w:val="20"/>
        </w:rPr>
      </w:pPr>
    </w:p>
    <w:sectPr w:rsidR="00E10184" w:rsidSect="00E54B4B">
      <w:headerReference w:type="default" r:id="rId7"/>
      <w:pgSz w:w="11906" w:h="16838"/>
      <w:pgMar w:top="1417" w:right="99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42AD" w:rsidRDefault="00EF42AD" w:rsidP="00EF42AD">
      <w:pPr>
        <w:spacing w:after="0" w:line="240" w:lineRule="auto"/>
      </w:pPr>
      <w:r>
        <w:separator/>
      </w:r>
    </w:p>
  </w:endnote>
  <w:endnote w:type="continuationSeparator" w:id="0">
    <w:p w:rsidR="00EF42AD" w:rsidRDefault="00EF42AD" w:rsidP="00EF4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42AD" w:rsidRDefault="00EF42AD" w:rsidP="00EF42AD">
      <w:pPr>
        <w:spacing w:after="0" w:line="240" w:lineRule="auto"/>
      </w:pPr>
      <w:r>
        <w:separator/>
      </w:r>
    </w:p>
  </w:footnote>
  <w:footnote w:type="continuationSeparator" w:id="0">
    <w:p w:rsidR="00EF42AD" w:rsidRDefault="00EF42AD" w:rsidP="00EF42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2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4966"/>
    </w:tblGrid>
    <w:tr w:rsidR="00EF42AD" w:rsidTr="00E54B4B">
      <w:tc>
        <w:tcPr>
          <w:tcW w:w="4248" w:type="dxa"/>
        </w:tcPr>
        <w:p w:rsidR="00EF42AD" w:rsidRDefault="00EF42AD" w:rsidP="00EF42AD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EF42AD" w:rsidTr="00D859C9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EF42AD" w:rsidRDefault="00EF42AD" w:rsidP="00EF42AD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71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E54B4B">
                  <w:fldChar w:fldCharType="begin"/>
                </w:r>
                <w:r w:rsidR="00E54B4B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E54B4B">
                  <w:fldChar w:fldCharType="separate"/>
                </w:r>
                <w:r w:rsidR="00F26302">
                  <w:fldChar w:fldCharType="begin"/>
                </w:r>
                <w:r w:rsidR="00F26302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F26302">
                  <w:fldChar w:fldCharType="separate"/>
                </w:r>
                <w:r w:rsidR="00D64454">
                  <w:fldChar w:fldCharType="begin"/>
                </w:r>
                <w:r w:rsidR="00D64454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D64454">
                  <w:fldChar w:fldCharType="separate"/>
                </w:r>
                <w:r w:rsidR="004B69EF">
                  <w:fldChar w:fldCharType="begin"/>
                </w:r>
                <w:r w:rsidR="004B69EF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4B69EF">
                  <w:fldChar w:fldCharType="separate"/>
                </w:r>
                <w:r w:rsidR="0020468E">
                  <w:fldChar w:fldCharType="begin"/>
                </w:r>
                <w:r w:rsidR="0020468E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20468E">
                  <w:fldChar w:fldCharType="separate"/>
                </w:r>
                <w:r w:rsidR="00336BDC">
                  <w:fldChar w:fldCharType="begin"/>
                </w:r>
                <w:r w:rsidR="00336BDC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336BDC">
                  <w:fldChar w:fldCharType="separate"/>
                </w:r>
                <w:r w:rsidR="00394638">
                  <w:fldChar w:fldCharType="begin"/>
                </w:r>
                <w:r w:rsidR="00394638">
                  <w:instrText xml:space="preserve"> </w:instrText>
                </w:r>
                <w:r w:rsidR="00394638">
                  <w:instrText>INCLUDEPICTURE  "https://www.cantabria.es/documents/28617/6427995/consejeria-presidencia.jpg/507b08e4-6cc9-5edc-21f</w:instrText>
                </w:r>
                <w:r w:rsidR="00394638">
                  <w:instrText>e-9f56c5ef1ce0?version=1.0&amp;t=1531733117535&amp;imagePreview=1" \* MERGEFORMATINET</w:instrText>
                </w:r>
                <w:r w:rsidR="00394638">
                  <w:instrText xml:space="preserve"> </w:instrText>
                </w:r>
                <w:r w:rsidR="00394638">
                  <w:fldChar w:fldCharType="separate"/>
                </w:r>
                <w:r w:rsidR="00394638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" style="width:170.5pt;height:88.35pt">
                      <v:imagedata r:id="rId1" r:href="rId2" cropright="33883f"/>
                    </v:shape>
                  </w:pict>
                </w:r>
                <w:r w:rsidR="00394638">
                  <w:fldChar w:fldCharType="end"/>
                </w:r>
                <w:r w:rsidR="00336BDC">
                  <w:fldChar w:fldCharType="end"/>
                </w:r>
                <w:r w:rsidR="0020468E">
                  <w:fldChar w:fldCharType="end"/>
                </w:r>
                <w:r w:rsidR="004B69EF">
                  <w:fldChar w:fldCharType="end"/>
                </w:r>
                <w:r w:rsidR="00D64454">
                  <w:fldChar w:fldCharType="end"/>
                </w:r>
                <w:r w:rsidR="00F26302">
                  <w:fldChar w:fldCharType="end"/>
                </w:r>
                <w:r w:rsidR="00E54B4B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EF42AD" w:rsidRDefault="00EF42AD" w:rsidP="00EF42AD">
                <w:pPr>
                  <w:pStyle w:val="Encabezado"/>
                  <w:ind w:left="212" w:firstLine="426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EF42AD" w:rsidRPr="00672DC2" w:rsidRDefault="00EF42AD" w:rsidP="00EF42AD">
                <w:pPr>
                  <w:pStyle w:val="Encabezado"/>
                  <w:ind w:firstLine="714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:rsidR="00EF42AD" w:rsidRPr="007D7894" w:rsidRDefault="00EF42AD" w:rsidP="00EF42AD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EF42AD" w:rsidRPr="007D7894" w:rsidRDefault="00EF42AD" w:rsidP="00EF42AD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EF42AD" w:rsidRDefault="00EF42AD" w:rsidP="00EF42AD">
          <w:pPr>
            <w:pStyle w:val="Encabezado"/>
          </w:pPr>
        </w:p>
      </w:tc>
      <w:tc>
        <w:tcPr>
          <w:tcW w:w="4966" w:type="dxa"/>
          <w:vAlign w:val="center"/>
        </w:tcPr>
        <w:p w:rsidR="00EF42AD" w:rsidRDefault="00EF42AD" w:rsidP="00EF42AD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E54B4B">
            <w:fldChar w:fldCharType="begin"/>
          </w:r>
          <w:r w:rsidR="00E54B4B">
            <w:instrText xml:space="preserve"> INCLUDEPICTURE  "https://www.cantabria.es/documents/28617/6414679/jubilar_vert_color.jpg/4fd3efde-f205-6ae1-ff34-c066943dd8b3?t=1531732852940" \* MERGEFORMATINET </w:instrText>
          </w:r>
          <w:r w:rsidR="00E54B4B">
            <w:fldChar w:fldCharType="separate"/>
          </w:r>
          <w:r w:rsidR="00F26302">
            <w:fldChar w:fldCharType="begin"/>
          </w:r>
          <w:r w:rsidR="00F26302">
            <w:instrText xml:space="preserve"> INCLUDEPICTURE  "https://www.cantabria.es/documents/28617/6414679/jubilar_vert_color.jpg/4fd3efde-f205-6ae1-ff34-c066943dd8b3?t=1531732852940" \* MERGEFORMATINET </w:instrText>
          </w:r>
          <w:r w:rsidR="00F26302">
            <w:fldChar w:fldCharType="separate"/>
          </w:r>
          <w:r w:rsidR="00D64454">
            <w:fldChar w:fldCharType="begin"/>
          </w:r>
          <w:r w:rsidR="00D64454">
            <w:instrText xml:space="preserve"> INCLUDEPICTURE  "https://www.cantabria.es/documents/28617/6414679/jubilar_vert_color.jpg/4fd3efde-f205-6ae1-ff34-c066943dd8b3?t=1531732852940" \* MERGEFORMATINET </w:instrText>
          </w:r>
          <w:r w:rsidR="00D64454">
            <w:fldChar w:fldCharType="separate"/>
          </w:r>
          <w:r w:rsidR="004B69EF">
            <w:fldChar w:fldCharType="begin"/>
          </w:r>
          <w:r w:rsidR="004B69EF">
            <w:instrText xml:space="preserve"> INCLUDEPICTURE  "https://www.cantabria.es/documents/28617/6414679/jubilar_vert_color.jpg/4fd3efde-f205-6ae1-ff34-c066943dd8b3?t=1531732852940" \* MERGEFORMATINET </w:instrText>
          </w:r>
          <w:r w:rsidR="004B69EF">
            <w:fldChar w:fldCharType="separate"/>
          </w:r>
          <w:r w:rsidR="0020468E">
            <w:fldChar w:fldCharType="begin"/>
          </w:r>
          <w:r w:rsidR="0020468E">
            <w:instrText xml:space="preserve"> INCLUDEPICTURE  "https://www.cantabria.es/documents/28617/6414679/jubilar_vert_color.jpg/4fd3efde-f205-6ae1-ff34-c066943dd8b3?t=1531732852940" \* MERGEFORMATINET </w:instrText>
          </w:r>
          <w:r w:rsidR="0020468E">
            <w:fldChar w:fldCharType="separate"/>
          </w:r>
          <w:r w:rsidR="00336BDC">
            <w:fldChar w:fldCharType="begin"/>
          </w:r>
          <w:r w:rsidR="00336BDC">
            <w:instrText xml:space="preserve"> INCLUDEPICTURE  "https://www.cantabria.es/documents/28617/6414679/jubilar_vert_color.jpg/4fd3efde-f205-6ae1-ff34-c066943dd8b3?t=1531732852940" \* MERGEFORMATINET </w:instrText>
          </w:r>
          <w:r w:rsidR="00336BDC">
            <w:fldChar w:fldCharType="separate"/>
          </w:r>
          <w:r w:rsidR="00394638">
            <w:fldChar w:fldCharType="begin"/>
          </w:r>
          <w:r w:rsidR="00394638">
            <w:instrText xml:space="preserve"> </w:instrText>
          </w:r>
          <w:r w:rsidR="00394638">
            <w:instrText>INCLUDEPICTURE  "https://www.cantabria.es/documents/28617/6414679/jubilar_vert_color.jpg/4fd</w:instrText>
          </w:r>
          <w:r w:rsidR="00394638">
            <w:instrText>3efde-f205-6ae1-ff34-c066943dd8b3?t=1531732852940" \* MERGEFORMATINET</w:instrText>
          </w:r>
          <w:r w:rsidR="00394638">
            <w:instrText xml:space="preserve"> </w:instrText>
          </w:r>
          <w:r w:rsidR="00394638">
            <w:fldChar w:fldCharType="separate"/>
          </w:r>
          <w:r w:rsidR="00394638">
            <w:pict>
              <v:shape id="_x0000_i1026" type="#_x0000_t75" alt="" style="width:119.7pt;height:71.55pt">
                <v:imagedata r:id="rId3" r:href="rId4"/>
              </v:shape>
            </w:pict>
          </w:r>
          <w:r w:rsidR="00394638">
            <w:fldChar w:fldCharType="end"/>
          </w:r>
          <w:r w:rsidR="00336BDC">
            <w:fldChar w:fldCharType="end"/>
          </w:r>
          <w:r w:rsidR="0020468E">
            <w:fldChar w:fldCharType="end"/>
          </w:r>
          <w:r w:rsidR="004B69EF">
            <w:fldChar w:fldCharType="end"/>
          </w:r>
          <w:r w:rsidR="00D64454">
            <w:fldChar w:fldCharType="end"/>
          </w:r>
          <w:r w:rsidR="00F26302">
            <w:fldChar w:fldCharType="end"/>
          </w:r>
          <w:r w:rsidR="00E54B4B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EF42AD" w:rsidRDefault="00EF42A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91E9E"/>
    <w:multiLevelType w:val="multilevel"/>
    <w:tmpl w:val="7E90E364"/>
    <w:lvl w:ilvl="0">
      <w:start w:val="1"/>
      <w:numFmt w:val="decimal"/>
      <w:lvlText w:val="TEMA %1.-"/>
      <w:lvlJc w:val="left"/>
      <w:pPr>
        <w:ind w:left="360" w:hanging="360"/>
      </w:pPr>
      <w:rPr>
        <w:rFonts w:ascii="Arial" w:hAnsi="Arial" w:hint="default"/>
        <w:b/>
        <w:i w:val="0"/>
        <w:color w:val="auto"/>
        <w:sz w:val="20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3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2AD"/>
    <w:rsid w:val="0020468E"/>
    <w:rsid w:val="00336BDC"/>
    <w:rsid w:val="00394638"/>
    <w:rsid w:val="004B69EF"/>
    <w:rsid w:val="00526B66"/>
    <w:rsid w:val="00696DFA"/>
    <w:rsid w:val="008F08F7"/>
    <w:rsid w:val="009175DC"/>
    <w:rsid w:val="00B30FB0"/>
    <w:rsid w:val="00D108D4"/>
    <w:rsid w:val="00D64454"/>
    <w:rsid w:val="00E10184"/>
    <w:rsid w:val="00E54B4B"/>
    <w:rsid w:val="00EF42AD"/>
    <w:rsid w:val="00F2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0837DF3C-0AC6-4127-8E95-3064109CD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EF42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EF42AD"/>
  </w:style>
  <w:style w:type="paragraph" w:styleId="Piedepgina">
    <w:name w:val="footer"/>
    <w:basedOn w:val="Normal"/>
    <w:link w:val="PiedepginaCar"/>
    <w:uiPriority w:val="99"/>
    <w:unhideWhenUsed/>
    <w:rsid w:val="00EF42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AD"/>
  </w:style>
  <w:style w:type="table" w:styleId="Tablaconcuadrcula">
    <w:name w:val="Table Grid"/>
    <w:basedOn w:val="Tablanormal"/>
    <w:uiPriority w:val="39"/>
    <w:rsid w:val="00EF42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F42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1186</Words>
  <Characters>6529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7700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Oria Pérez Aida Eugenia</dc:creator>
  <cp:keywords/>
  <dc:description/>
  <cp:lastModifiedBy>Pérez Aguilar Óscar Fernando</cp:lastModifiedBy>
  <cp:revision>2</cp:revision>
  <dcterms:created xsi:type="dcterms:W3CDTF">2019-04-15T09:40:00Z</dcterms:created>
  <dcterms:modified xsi:type="dcterms:W3CDTF">2019-04-15T09:40:00Z</dcterms:modified>
</cp:coreProperties>
</file>