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578" w:rsidRDefault="005D1578" w:rsidP="008A7D04">
      <w:pPr>
        <w:spacing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u w:val="single"/>
        </w:rPr>
        <w:t>ANEXO I</w:t>
      </w:r>
    </w:p>
    <w:p w:rsidR="005D1578" w:rsidRDefault="005D1578" w:rsidP="008A7D04">
      <w:pPr>
        <w:spacing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</w:p>
    <w:p w:rsidR="005D1578" w:rsidRDefault="005D1578" w:rsidP="008A7D04">
      <w:pPr>
        <w:spacing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>CUERPO FACULTATIVO SUPERIOR</w:t>
      </w:r>
    </w:p>
    <w:p w:rsidR="005D1578" w:rsidRDefault="005D1578" w:rsidP="008A7D04">
      <w:pPr>
        <w:spacing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</w:p>
    <w:p w:rsidR="005D1578" w:rsidRPr="003506E3" w:rsidRDefault="005D1578" w:rsidP="008A7D04">
      <w:pPr>
        <w:spacing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PEDAGOGÍA</w:t>
      </w:r>
    </w:p>
    <w:p w:rsidR="005D1578" w:rsidRDefault="005D1578" w:rsidP="008A7D04">
      <w:pPr>
        <w:spacing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</w:p>
    <w:p w:rsidR="005D1578" w:rsidRDefault="005D1578" w:rsidP="008A7D04">
      <w:pPr>
        <w:spacing w:after="0" w:line="240" w:lineRule="auto"/>
        <w:ind w:left="1134" w:hanging="1134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>MATERIAS ESPECÍFICAS</w:t>
      </w:r>
    </w:p>
    <w:p w:rsidR="005D1578" w:rsidRDefault="005D1578" w:rsidP="008A7D0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elvetica" w:hAnsi="Helvetica" w:cs="Helvetica"/>
          <w:color w:val="000000"/>
          <w:sz w:val="18"/>
          <w:szCs w:val="18"/>
        </w:rPr>
      </w:pPr>
    </w:p>
    <w:p w:rsidR="005D1578" w:rsidRDefault="005D1578" w:rsidP="008A7D0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elvetica" w:hAnsi="Helvetica" w:cs="Helvetica"/>
          <w:color w:val="000000"/>
          <w:sz w:val="18"/>
          <w:szCs w:val="18"/>
        </w:rPr>
      </w:pPr>
    </w:p>
    <w:p w:rsidR="005D1578" w:rsidRDefault="005D1578" w:rsidP="008A7D0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elvetica" w:hAnsi="Helvetica" w:cs="Helvetica"/>
          <w:color w:val="000000"/>
          <w:sz w:val="18"/>
          <w:szCs w:val="18"/>
        </w:rPr>
      </w:pPr>
    </w:p>
    <w:p w:rsidR="005D1578" w:rsidRDefault="005D1578" w:rsidP="008A7D0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Helvetica" w:hAnsi="Helvetica" w:cs="Helvetica"/>
          <w:color w:val="000000"/>
          <w:sz w:val="18"/>
          <w:szCs w:val="18"/>
        </w:rPr>
      </w:pP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Concepto de pedagogía. Problemática fundamental y orientaciones actuales.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Instrumentos de medida en pedagogía. Las pruebas objetivas. Las pruebas abiertas.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Elementos de estadística aplicados a la pedagogía. Medidas de variabilidad.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Fines y alcances de la pedagogía. Su implicación social.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Concepto de educación. Extensión y límites.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Principios y leyes de la educación.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La maduración. Concepto. Maduración</w:t>
      </w:r>
      <w:r>
        <w:rPr>
          <w:rFonts w:ascii="Helvetica" w:hAnsi="Helvetica" w:cs="Helvetica"/>
          <w:color w:val="000000"/>
          <w:sz w:val="18"/>
          <w:szCs w:val="18"/>
        </w:rPr>
        <w:t xml:space="preserve"> y aprendi</w:t>
      </w:r>
      <w:r w:rsidRPr="005D1578">
        <w:rPr>
          <w:rFonts w:ascii="Helvetica" w:hAnsi="Helvetica" w:cs="Helvetica"/>
          <w:color w:val="000000"/>
          <w:sz w:val="18"/>
          <w:szCs w:val="18"/>
        </w:rPr>
        <w:t xml:space="preserve">zaje. Las diferencias individuales.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Teoría de las etapas en el desarrollo del niño.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Desarrollo cognitivo, afectivo, psicomotor y social en la primera infancia de 0-3</w:t>
      </w:r>
      <w:r>
        <w:rPr>
          <w:rFonts w:ascii="Helvetica" w:hAnsi="Helvetica" w:cs="Helvetica"/>
          <w:color w:val="000000"/>
          <w:sz w:val="18"/>
          <w:szCs w:val="18"/>
        </w:rPr>
        <w:t xml:space="preserve"> </w:t>
      </w:r>
      <w:r w:rsidRPr="005D1578">
        <w:rPr>
          <w:rFonts w:ascii="Helvetica" w:hAnsi="Helvetica" w:cs="Helvetica"/>
          <w:color w:val="000000"/>
          <w:sz w:val="18"/>
          <w:szCs w:val="18"/>
        </w:rPr>
        <w:t>años.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Desarrollo cognitivo, afectivo, psicomotor y social en la primera infancia de 3-6</w:t>
      </w:r>
      <w:r>
        <w:rPr>
          <w:rFonts w:ascii="Helvetica" w:hAnsi="Helvetica" w:cs="Helvetica"/>
          <w:color w:val="000000"/>
          <w:sz w:val="18"/>
          <w:szCs w:val="18"/>
        </w:rPr>
        <w:t xml:space="preserve"> </w:t>
      </w:r>
      <w:r w:rsidRPr="005D1578">
        <w:rPr>
          <w:rFonts w:ascii="Helvetica" w:hAnsi="Helvetica" w:cs="Helvetica"/>
          <w:color w:val="000000"/>
          <w:sz w:val="18"/>
          <w:szCs w:val="18"/>
        </w:rPr>
        <w:t>años.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Desarrollo cognitivo, afectivo, psicomotor y social en la infancia de 6-12 años.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El apego. Concepto, formación, tipo y evolución del apego.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Concepto de refuerzo. Clases de refuerzos. Programas simples de reforzamiento positivo. Adquisición y mantenimiento.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Procesos dinámicos en el aprendizaje social.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Técnicas </w:t>
      </w:r>
      <w:proofErr w:type="spellStart"/>
      <w:r w:rsidRPr="005D1578">
        <w:rPr>
          <w:rFonts w:ascii="Helvetica" w:hAnsi="Helvetica" w:cs="Helvetica"/>
          <w:color w:val="000000"/>
          <w:sz w:val="18"/>
          <w:szCs w:val="18"/>
        </w:rPr>
        <w:t>sociométricas</w:t>
      </w:r>
      <w:proofErr w:type="spellEnd"/>
      <w:r w:rsidRPr="005D1578">
        <w:rPr>
          <w:rFonts w:ascii="Helvetica" w:hAnsi="Helvetica" w:cs="Helvetica"/>
          <w:color w:val="000000"/>
          <w:sz w:val="18"/>
          <w:szCs w:val="18"/>
        </w:rPr>
        <w:t xml:space="preserve"> y su aplicación en la educación</w:t>
      </w:r>
      <w:r>
        <w:rPr>
          <w:rFonts w:ascii="Helvetica" w:hAnsi="Helvetica" w:cs="Helvetica"/>
          <w:color w:val="000000"/>
          <w:sz w:val="18"/>
          <w:szCs w:val="18"/>
        </w:rPr>
        <w:t>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Familia y clase social en el proceso de socialización.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personalidad: concepto. La medida de la personalidad. La modificación de la personalidad.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 proceso de la adolescencia. Aspectos generales.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Problemas de desarrollo en la adolescencia.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Internalización e identidad en la adolescencia. Internalización y procesos emocionales en la adolescencia.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Alteraciones comportamentales y conductas asociales en la adolescencia. Programas de prevención, intervención y tratamiento.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pedagogía social y sus campos de actuación.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prevención en intervención socioeducativa.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orientación como actividad educativa. Finalidades, principios, funciones y proceso.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Principios básicos, comunes a los distintos modelos de orientación educativa. Sus técnicas </w:t>
      </w:r>
      <w:proofErr w:type="spellStart"/>
      <w:r w:rsidRPr="005D1578">
        <w:rPr>
          <w:rFonts w:ascii="Helvetica" w:hAnsi="Helvetica" w:cs="Helvetica"/>
          <w:color w:val="000000"/>
          <w:sz w:val="18"/>
          <w:szCs w:val="18"/>
        </w:rPr>
        <w:t>mas</w:t>
      </w:r>
      <w:proofErr w:type="spellEnd"/>
      <w:r w:rsidRPr="005D1578">
        <w:rPr>
          <w:rFonts w:ascii="Helvetica" w:hAnsi="Helvetica" w:cs="Helvetica"/>
          <w:color w:val="000000"/>
          <w:sz w:val="18"/>
          <w:szCs w:val="18"/>
        </w:rPr>
        <w:t xml:space="preserve"> avanzadas.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lastRenderedPageBreak/>
        <w:t xml:space="preserve">La integración de alumnos con necesidades educativas especiales en la escuela ordinaria. Principios y métodos de la integración escolar.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 fracaso escolar. Análisis y pautas de intervención.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proofErr w:type="spellStart"/>
      <w:r w:rsidRPr="005D1578">
        <w:rPr>
          <w:rFonts w:ascii="Helvetica" w:hAnsi="Helvetica" w:cs="Helvetica"/>
          <w:color w:val="000000"/>
          <w:sz w:val="18"/>
          <w:szCs w:val="18"/>
        </w:rPr>
        <w:t>Multidimensionalidad</w:t>
      </w:r>
      <w:proofErr w:type="spellEnd"/>
      <w:r w:rsidRPr="005D1578">
        <w:rPr>
          <w:rFonts w:ascii="Helvetica" w:hAnsi="Helvetica" w:cs="Helvetica"/>
          <w:color w:val="000000"/>
          <w:sz w:val="18"/>
          <w:szCs w:val="18"/>
        </w:rPr>
        <w:t xml:space="preserve"> de la relación</w:t>
      </w:r>
      <w:r>
        <w:rPr>
          <w:rFonts w:ascii="Helvetica" w:hAnsi="Helvetica" w:cs="Helvetica"/>
          <w:color w:val="000000"/>
          <w:sz w:val="18"/>
          <w:szCs w:val="18"/>
        </w:rPr>
        <w:t xml:space="preserve"> profesor-</w:t>
      </w:r>
      <w:r w:rsidRPr="005D1578">
        <w:rPr>
          <w:rFonts w:ascii="Helvetica" w:hAnsi="Helvetica" w:cs="Helvetica"/>
          <w:color w:val="000000"/>
          <w:sz w:val="18"/>
          <w:szCs w:val="18"/>
        </w:rPr>
        <w:t xml:space="preserve">alumno.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evaluación formativa.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relación de los alumnos entre sí dentro del aula. Integración en el grupo de los alumnos con dificultades.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>
        <w:rPr>
          <w:rFonts w:ascii="Helvetica" w:hAnsi="Helvetica" w:cs="Helvetica"/>
          <w:color w:val="000000"/>
          <w:sz w:val="18"/>
          <w:szCs w:val="18"/>
        </w:rPr>
        <w:t>El proceso de enseñanza-</w:t>
      </w:r>
      <w:r w:rsidRPr="005D1578">
        <w:rPr>
          <w:rFonts w:ascii="Helvetica" w:hAnsi="Helvetica" w:cs="Helvetica"/>
          <w:color w:val="000000"/>
          <w:sz w:val="18"/>
          <w:szCs w:val="18"/>
        </w:rPr>
        <w:t xml:space="preserve">aprendizaje como proceso de construcción y de interacción.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evaluación de la personalidad aplicada a la educación.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 análisis de las aptitudes.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Discapacidad. Importancia de la orientación pedagógica.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Las actitudes. Análisis y modificación.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Relevancia de la motivación en la esfera de la educación.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 aprendizaje social: Concepto. Teorías y Procesos.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 aprendizaje social. La adquisición de las habilidades sociales.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 aprendizaje social. El desarrollo de Las habilidades morales.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 aprendizaje social. La adquisición de las habilidades </w:t>
      </w:r>
      <w:proofErr w:type="spellStart"/>
      <w:r w:rsidRPr="005D1578">
        <w:rPr>
          <w:rFonts w:ascii="Helvetica" w:hAnsi="Helvetica" w:cs="Helvetica"/>
          <w:color w:val="000000"/>
          <w:sz w:val="18"/>
          <w:szCs w:val="18"/>
        </w:rPr>
        <w:t>cívico</w:t>
      </w:r>
      <w:r>
        <w:rPr>
          <w:rFonts w:ascii="Helvetica" w:hAnsi="Helvetica" w:cs="Helvetica"/>
          <w:color w:val="000000"/>
          <w:sz w:val="18"/>
          <w:szCs w:val="18"/>
        </w:rPr>
        <w:t>-</w:t>
      </w:r>
      <w:r w:rsidRPr="005D1578">
        <w:rPr>
          <w:rFonts w:ascii="Helvetica" w:hAnsi="Helvetica" w:cs="Helvetica"/>
          <w:color w:val="000000"/>
          <w:sz w:val="18"/>
          <w:szCs w:val="18"/>
        </w:rPr>
        <w:t>políticas</w:t>
      </w:r>
      <w:proofErr w:type="spellEnd"/>
      <w:r w:rsidRPr="005D1578">
        <w:rPr>
          <w:rFonts w:ascii="Helvetica" w:hAnsi="Helvetica" w:cs="Helvetica"/>
          <w:color w:val="000000"/>
          <w:sz w:val="18"/>
          <w:szCs w:val="18"/>
        </w:rPr>
        <w:t xml:space="preserve">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Diferentes enfoques de la dinámica de grupos.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Estado del Bienestar, servicios sociales y profesionalización del pedagogo.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animación sociocultural de los jóvenes en la comunidad.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actuación del pedagogo ante la familia, la infancia y la juventud.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Cambios sociales que afectan al menor y la familia.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violencia en el contexto familiar.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protección de los derechos de los menores en casos de divorcio y separación. 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adopción y las medidas de intervención en la legislación general del Estado.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La desprotección Infantil: marco legal y principios de actuación.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Procedimiento de intervención en situaciones de desprotección. Plan de caso. 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Los Programas de Intervención Familiar. Principios y fundamentos, instrumentos, finalidades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 menor maltratado y/o </w:t>
      </w:r>
      <w:proofErr w:type="spellStart"/>
      <w:r w:rsidRPr="005D1578">
        <w:rPr>
          <w:rFonts w:ascii="Helvetica" w:hAnsi="Helvetica" w:cs="Helvetica"/>
          <w:color w:val="000000"/>
          <w:sz w:val="18"/>
          <w:szCs w:val="18"/>
        </w:rPr>
        <w:t>maltratante</w:t>
      </w:r>
      <w:proofErr w:type="spellEnd"/>
      <w:r w:rsidRPr="005D1578">
        <w:rPr>
          <w:rFonts w:ascii="Helvetica" w:hAnsi="Helvetica" w:cs="Helvetica"/>
          <w:color w:val="000000"/>
          <w:sz w:val="18"/>
          <w:szCs w:val="18"/>
        </w:rPr>
        <w:t>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El defensor del menor. Filosofía de partida.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Causas sociales de la delincuencia infantil.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Violencia y escuela.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Medios de comunicación de masas. Su influencia en la sociedad y en la cultura contemporáneas.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Protección infantil. Evaluación famili</w:t>
      </w:r>
      <w:r>
        <w:rPr>
          <w:rFonts w:ascii="Helvetica" w:hAnsi="Helvetica" w:cs="Helvetica"/>
          <w:color w:val="000000"/>
          <w:sz w:val="18"/>
          <w:szCs w:val="18"/>
        </w:rPr>
        <w:t>ar en situacio</w:t>
      </w:r>
      <w:r w:rsidRPr="005D1578">
        <w:rPr>
          <w:rFonts w:ascii="Helvetica" w:hAnsi="Helvetica" w:cs="Helvetica"/>
          <w:color w:val="000000"/>
          <w:sz w:val="18"/>
          <w:szCs w:val="18"/>
        </w:rPr>
        <w:t xml:space="preserve">nes de riesgo y desamparo.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prevención de situaciones de riesgo y sistema educativo.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Doctrina del menor ma</w:t>
      </w:r>
      <w:r w:rsidR="008A7D04">
        <w:rPr>
          <w:rFonts w:ascii="Helvetica" w:hAnsi="Helvetica" w:cs="Helvetica"/>
          <w:color w:val="000000"/>
          <w:sz w:val="18"/>
          <w:szCs w:val="18"/>
        </w:rPr>
        <w:t>duro: Aspectos éticos y juríd</w:t>
      </w:r>
      <w:r w:rsidR="008A7D04" w:rsidRPr="005D1578">
        <w:rPr>
          <w:rFonts w:ascii="Helvetica" w:hAnsi="Helvetica" w:cs="Helvetica"/>
          <w:color w:val="000000"/>
          <w:sz w:val="18"/>
          <w:szCs w:val="18"/>
        </w:rPr>
        <w:t>icos</w:t>
      </w:r>
      <w:r w:rsidRPr="005D1578">
        <w:rPr>
          <w:rFonts w:ascii="Helvetica" w:hAnsi="Helvetica" w:cs="Helvetica"/>
          <w:color w:val="000000"/>
          <w:sz w:val="18"/>
          <w:szCs w:val="18"/>
        </w:rPr>
        <w:t xml:space="preserve">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Ley </w:t>
      </w:r>
      <w:r w:rsidR="008A7D04" w:rsidRPr="005D1578">
        <w:rPr>
          <w:rFonts w:ascii="Helvetica" w:hAnsi="Helvetica" w:cs="Helvetica"/>
          <w:color w:val="000000"/>
          <w:sz w:val="18"/>
          <w:szCs w:val="18"/>
        </w:rPr>
        <w:t>Orgánica</w:t>
      </w:r>
      <w:r w:rsidRPr="005D1578">
        <w:rPr>
          <w:rFonts w:ascii="Helvetica" w:hAnsi="Helvetica" w:cs="Helvetica"/>
          <w:color w:val="000000"/>
          <w:sz w:val="18"/>
          <w:szCs w:val="18"/>
        </w:rPr>
        <w:t xml:space="preserve"> 5/2000, de 13 de enero, de Responsabilidad penal de los menores.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lastRenderedPageBreak/>
        <w:t xml:space="preserve">La </w:t>
      </w:r>
      <w:r w:rsidR="008A7D04" w:rsidRPr="005D1578">
        <w:rPr>
          <w:rFonts w:ascii="Helvetica" w:hAnsi="Helvetica" w:cs="Helvetica"/>
          <w:color w:val="000000"/>
          <w:sz w:val="18"/>
          <w:szCs w:val="18"/>
        </w:rPr>
        <w:t>intervención</w:t>
      </w:r>
      <w:r w:rsidRPr="005D1578">
        <w:rPr>
          <w:rFonts w:ascii="Helvetica" w:hAnsi="Helvetica" w:cs="Helvetica"/>
          <w:color w:val="000000"/>
          <w:sz w:val="18"/>
          <w:szCs w:val="18"/>
        </w:rPr>
        <w:t xml:space="preserve"> multidisciplinar en los problemas de familias y menores. Los equipos </w:t>
      </w:r>
      <w:r w:rsidR="008A7D04" w:rsidRPr="005D1578">
        <w:rPr>
          <w:rFonts w:ascii="Helvetica" w:hAnsi="Helvetica" w:cs="Helvetica"/>
          <w:color w:val="000000"/>
          <w:sz w:val="18"/>
          <w:szCs w:val="18"/>
        </w:rPr>
        <w:t>técnicos</w:t>
      </w:r>
      <w:r w:rsidRPr="005D1578">
        <w:rPr>
          <w:rFonts w:ascii="Helvetica" w:hAnsi="Helvetica" w:cs="Helvetica"/>
          <w:color w:val="000000"/>
          <w:sz w:val="18"/>
          <w:szCs w:val="18"/>
        </w:rPr>
        <w:t xml:space="preserve">. Papel del pedagogo o educador. </w:t>
      </w:r>
    </w:p>
    <w:p w:rsidR="005D1578" w:rsidRPr="005D1578" w:rsidRDefault="008A7D04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Técnicas</w:t>
      </w:r>
      <w:r w:rsidR="005D1578" w:rsidRPr="005D1578">
        <w:rPr>
          <w:rFonts w:ascii="Helvetica" w:hAnsi="Helvetica" w:cs="Helvetica"/>
          <w:color w:val="000000"/>
          <w:sz w:val="18"/>
          <w:szCs w:val="18"/>
        </w:rPr>
        <w:t xml:space="preserve"> de </w:t>
      </w:r>
      <w:r w:rsidRPr="005D1578">
        <w:rPr>
          <w:rFonts w:ascii="Helvetica" w:hAnsi="Helvetica" w:cs="Helvetica"/>
          <w:color w:val="000000"/>
          <w:sz w:val="18"/>
          <w:szCs w:val="18"/>
        </w:rPr>
        <w:t>intervención</w:t>
      </w:r>
      <w:r w:rsidR="005D1578" w:rsidRPr="005D1578">
        <w:rPr>
          <w:rFonts w:ascii="Helvetica" w:hAnsi="Helvetica" w:cs="Helvetica"/>
          <w:color w:val="000000"/>
          <w:sz w:val="18"/>
          <w:szCs w:val="18"/>
        </w:rPr>
        <w:t xml:space="preserve"> en la familia. Terapia familiar breve.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violencia de género: </w:t>
      </w:r>
      <w:r w:rsidR="008A7D04" w:rsidRPr="005D1578">
        <w:rPr>
          <w:rFonts w:ascii="Helvetica" w:hAnsi="Helvetica" w:cs="Helvetica"/>
          <w:color w:val="000000"/>
          <w:sz w:val="18"/>
          <w:szCs w:val="18"/>
        </w:rPr>
        <w:t>definición</w:t>
      </w:r>
      <w:r w:rsidRPr="005D1578">
        <w:rPr>
          <w:rFonts w:ascii="Helvetica" w:hAnsi="Helvetica" w:cs="Helvetica"/>
          <w:color w:val="000000"/>
          <w:sz w:val="18"/>
          <w:szCs w:val="18"/>
        </w:rPr>
        <w:t>, características y aspectos psicológicos de las víctimas. La Ley Orgánica 1/2004, de 28 de diciembre, de Medidas de Protección Integral contra la violencia de género.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La Ley de la Comunidad Autónoma de Cantabria 1/2004, de 1 de abril, Integral para la Prevención de la Violencia contra las Mujeres y la Protección a sus </w:t>
      </w:r>
      <w:r w:rsidR="008A7D04" w:rsidRPr="005D1578">
        <w:rPr>
          <w:rFonts w:ascii="Helvetica" w:hAnsi="Helvetica" w:cs="Helvetica"/>
          <w:color w:val="000000"/>
          <w:sz w:val="18"/>
          <w:szCs w:val="18"/>
        </w:rPr>
        <w:t>Víctimas</w:t>
      </w:r>
      <w:r w:rsidRPr="005D1578">
        <w:rPr>
          <w:rFonts w:ascii="Helvetica" w:hAnsi="Helvetica" w:cs="Helvetica"/>
          <w:color w:val="000000"/>
          <w:sz w:val="18"/>
          <w:szCs w:val="18"/>
        </w:rPr>
        <w:t>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 xml:space="preserve">Valores y Desarrollo Moral. Concepto, características y componentes. Intervención Educativa. 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El abuso sexual infantil. Evaluación y programas de intervención.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Intervención socioeducativa con víctimas de Violencia de Género.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Programas centrados en el apoyo a los niños, niñas y adolescentes. Programas de fomento a la resiliencia.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La Ley de Cantabria 3/2009, de 27 de noviembre, de creación del Instituto Cántabro de Servicios Sociales, competencias, funciones y principios generales de actuación.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Las prestaciones del Sistema Público de Servicios Sociales: la cartera de Servicios Sociales.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Marco legal de los servicios sociales en Cantabria: la Ley de Cantabria 2/2007, de 27 de marzo, de Derechos y Servicios Sociales. El Sistema Público de Servicios Sociales: principios, organización y recursos.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La educación para la igualdad. Coeducación. Educación no discriminatoria. Eliminación de los prejuicios sexistas y racistas en la educación y el trabajo. Orientación académico-profesional para la igualdad de oportunidades.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Educación para la Salud. Alimentación. Sexualidad. Drogodependencias.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La educación para el consumo y el respeto al medio ambiente. Educación Ambiental.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Ley de Cantabria 8/2010, de 23 de diciembre, de garantía de derechos y atención a la infancia y adolescencia.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Ley 26/2015, de 28 de julio, de modificación del sistema de protección a la infancia y a la adolescencia.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Las diferencias socioculturales en la educación. La respuesta educativa a la diversidad. La educación intercultural.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Diseño y evaluación de programas de intervención socioeducativa dirigidos a colectivos específicos.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Las tecnologías de la información y la comunicación (TIC) y sus posibilidades en la formación como recur</w:t>
      </w:r>
      <w:r w:rsidR="008A7D04">
        <w:rPr>
          <w:rFonts w:ascii="Helvetica" w:hAnsi="Helvetica" w:cs="Helvetica"/>
          <w:color w:val="000000"/>
          <w:sz w:val="18"/>
          <w:szCs w:val="18"/>
        </w:rPr>
        <w:t xml:space="preserve">so didáctico y como gestión de </w:t>
      </w:r>
      <w:r w:rsidRPr="005D1578">
        <w:rPr>
          <w:rFonts w:ascii="Helvetica" w:hAnsi="Helvetica" w:cs="Helvetica"/>
          <w:color w:val="000000"/>
          <w:sz w:val="18"/>
          <w:szCs w:val="18"/>
        </w:rPr>
        <w:t>conocimientos.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El diagnóstico pedagógico. Concepto. Enfoques. Técnicas. La evaluación de la capacidad intelectual, de las aptitudes básicas y de las características personales relacionadas con el proceso educativo.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El liderazgo. Funciones. Tipologías de lid</w:t>
      </w:r>
      <w:r w:rsidR="008A7D04">
        <w:rPr>
          <w:rFonts w:ascii="Helvetica" w:hAnsi="Helvetica" w:cs="Helvetica"/>
          <w:color w:val="000000"/>
          <w:sz w:val="18"/>
          <w:szCs w:val="18"/>
        </w:rPr>
        <w:t>erazgo. La influencia de los lí</w:t>
      </w:r>
      <w:r w:rsidRPr="005D1578">
        <w:rPr>
          <w:rFonts w:ascii="Helvetica" w:hAnsi="Helvetica" w:cs="Helvetica"/>
          <w:color w:val="000000"/>
          <w:sz w:val="18"/>
          <w:szCs w:val="18"/>
        </w:rPr>
        <w:t>deres en la organización. Influencia sobre el grupo.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El papel del Acogimiento Residencial como medida de protección. Funciones y tipologías.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Programación, procesos y técnicas de evaluación en el Acogimiento Residencial.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La intervención socioeducativa con adolescentes infractores en contexto residencial y medio abierto.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El Acogimiento Familiar. Evolución, tipos y modalidades de acogimiento.</w:t>
      </w:r>
    </w:p>
    <w:p w:rsidR="005D1578" w:rsidRPr="005D1578" w:rsidRDefault="005D1578" w:rsidP="003277C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ind w:left="1134" w:hanging="1134"/>
        <w:contextualSpacing w:val="0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5D1578">
        <w:rPr>
          <w:rFonts w:ascii="Helvetica" w:hAnsi="Helvetica" w:cs="Helvetica"/>
          <w:color w:val="000000"/>
          <w:sz w:val="18"/>
          <w:szCs w:val="18"/>
        </w:rPr>
        <w:t>Planificación y Programación de la Intervención Social. Fases del proceso de planificación. Técnicas de la programación. Organización y gestión de los recursos.</w:t>
      </w:r>
    </w:p>
    <w:p w:rsidR="00033DBB" w:rsidRDefault="00033DBB" w:rsidP="003277C1">
      <w:pPr>
        <w:spacing w:before="120"/>
        <w:ind w:left="1134" w:hanging="1134"/>
        <w:jc w:val="both"/>
      </w:pPr>
    </w:p>
    <w:sectPr w:rsidR="00033DBB" w:rsidSect="005D1578">
      <w:headerReference w:type="default" r:id="rId7"/>
      <w:pgSz w:w="11906" w:h="16838"/>
      <w:pgMar w:top="1417" w:right="849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1578" w:rsidRDefault="005D1578" w:rsidP="005D1578">
      <w:pPr>
        <w:spacing w:after="0" w:line="240" w:lineRule="auto"/>
      </w:pPr>
      <w:r>
        <w:separator/>
      </w:r>
    </w:p>
  </w:endnote>
  <w:endnote w:type="continuationSeparator" w:id="0">
    <w:p w:rsidR="005D1578" w:rsidRDefault="005D1578" w:rsidP="005D1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1578" w:rsidRDefault="005D1578" w:rsidP="005D1578">
      <w:pPr>
        <w:spacing w:after="0" w:line="240" w:lineRule="auto"/>
      </w:pPr>
      <w:r>
        <w:separator/>
      </w:r>
    </w:p>
  </w:footnote>
  <w:footnote w:type="continuationSeparator" w:id="0">
    <w:p w:rsidR="005D1578" w:rsidRDefault="005D1578" w:rsidP="005D1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7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4536"/>
    </w:tblGrid>
    <w:tr w:rsidR="005D1578" w:rsidTr="00186441">
      <w:tc>
        <w:tcPr>
          <w:tcW w:w="4248" w:type="dxa"/>
        </w:tcPr>
        <w:p w:rsidR="005D1578" w:rsidRDefault="005D1578" w:rsidP="005D1578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5D1578" w:rsidTr="00186441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5D1578" w:rsidRDefault="005D1578" w:rsidP="005D1578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3277C1">
                  <w:fldChar w:fldCharType="begin"/>
                </w:r>
                <w:r w:rsidR="003277C1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3277C1">
                  <w:fldChar w:fldCharType="separate"/>
                </w:r>
                <w:r w:rsidR="001B709E">
                  <w:fldChar w:fldCharType="begin"/>
                </w:r>
                <w:r w:rsidR="001B709E">
                  <w:instrText xml:space="preserve"> </w:instrText>
                </w:r>
                <w:r w:rsidR="001B709E">
                  <w:instrText>INCLUDEPICTURE</w:instrText>
                </w:r>
                <w:r w:rsidR="001B709E">
                  <w:instrText xml:space="preserve">  "https://www.cantabria.es/documents/28617/6427995/consejeria-presidencia.jpg/507b08e4-6cc9-5edc-21fe-9f56c5ef1ce0?version=1.0&amp;t=1531733117535&amp;imagePreview=1" \* MERGEFORMATINET</w:instrText>
                </w:r>
                <w:r w:rsidR="001B709E">
                  <w:instrText xml:space="preserve"> </w:instrText>
                </w:r>
                <w:r w:rsidR="001B709E">
                  <w:fldChar w:fldCharType="separate"/>
                </w:r>
                <w:r w:rsidR="001B709E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5pt;height:88.35pt">
                      <v:imagedata r:id="rId1" r:href="rId2" cropright="33883f"/>
                    </v:shape>
                  </w:pict>
                </w:r>
                <w:r w:rsidR="001B709E">
                  <w:fldChar w:fldCharType="end"/>
                </w:r>
                <w:r w:rsidR="003277C1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5D1578" w:rsidRDefault="005D1578" w:rsidP="005D1578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5D1578" w:rsidRPr="00672DC2" w:rsidRDefault="005D1578" w:rsidP="005D1578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5D1578" w:rsidRPr="007D7894" w:rsidRDefault="005D1578" w:rsidP="005D1578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5D1578" w:rsidRPr="007D7894" w:rsidRDefault="005D1578" w:rsidP="005D1578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5D1578" w:rsidRDefault="005D1578" w:rsidP="005D1578">
          <w:pPr>
            <w:pStyle w:val="Encabezado"/>
          </w:pPr>
        </w:p>
      </w:tc>
      <w:tc>
        <w:tcPr>
          <w:tcW w:w="4536" w:type="dxa"/>
          <w:vAlign w:val="center"/>
        </w:tcPr>
        <w:p w:rsidR="005D1578" w:rsidRDefault="005D1578" w:rsidP="005D1578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3277C1">
            <w:fldChar w:fldCharType="begin"/>
          </w:r>
          <w:r w:rsidR="003277C1">
            <w:instrText xml:space="preserve"> INCLUDEPICTURE  "https://www.cantabria.es/documents/28617/6414679/jubilar_vert_color.jpg/4fd3efde-f205-6ae1-ff34-c066943dd8b3?t=1531732852940" \* MERGEFORMATINET </w:instrText>
          </w:r>
          <w:r w:rsidR="003277C1">
            <w:fldChar w:fldCharType="separate"/>
          </w:r>
          <w:r w:rsidR="001B709E">
            <w:fldChar w:fldCharType="begin"/>
          </w:r>
          <w:r w:rsidR="001B709E">
            <w:instrText xml:space="preserve"> </w:instrText>
          </w:r>
          <w:r w:rsidR="001B709E">
            <w:instrText>INCLUDEPICTURE  "https://www.cantabria.es/documents/28617/6414679/jubilar_vert_color.jpg/4fd3efde-f205-6ae1-ff34-c066943dd8b3?t=1531732852940" \* MERGEFORMATINET</w:instrText>
          </w:r>
          <w:r w:rsidR="001B709E">
            <w:instrText xml:space="preserve"> </w:instrText>
          </w:r>
          <w:r w:rsidR="001B709E">
            <w:fldChar w:fldCharType="separate"/>
          </w:r>
          <w:r w:rsidR="001B709E">
            <w:pict>
              <v:shape id="_x0000_i1026" type="#_x0000_t75" alt="" style="width:119.25pt;height:71.55pt">
                <v:imagedata r:id="rId3" r:href="rId4"/>
              </v:shape>
            </w:pict>
          </w:r>
          <w:r w:rsidR="001B709E">
            <w:fldChar w:fldCharType="end"/>
          </w:r>
          <w:r w:rsidR="003277C1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5D1578" w:rsidRDefault="005D157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25EB8"/>
    <w:multiLevelType w:val="hybridMultilevel"/>
    <w:tmpl w:val="2A8498F4"/>
    <w:lvl w:ilvl="0" w:tplc="0F0203A4">
      <w:start w:val="1"/>
      <w:numFmt w:val="decimal"/>
      <w:lvlText w:val="TEMA %1.-"/>
      <w:lvlJc w:val="left"/>
      <w:pPr>
        <w:ind w:left="720" w:hanging="360"/>
      </w:pPr>
      <w:rPr>
        <w:rFonts w:ascii="Arial" w:hAnsi="Arial" w:hint="default"/>
        <w:b/>
        <w:i w:val="0"/>
        <w:color w:val="auto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578"/>
    <w:rsid w:val="00033DBB"/>
    <w:rsid w:val="001B709E"/>
    <w:rsid w:val="003277C1"/>
    <w:rsid w:val="005D1578"/>
    <w:rsid w:val="008A7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2E230F5F-4C5D-4424-B6D1-A4408257E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D1578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5D15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5D1578"/>
  </w:style>
  <w:style w:type="paragraph" w:styleId="Piedepgina">
    <w:name w:val="footer"/>
    <w:basedOn w:val="Normal"/>
    <w:link w:val="PiedepginaCar"/>
    <w:uiPriority w:val="99"/>
    <w:unhideWhenUsed/>
    <w:rsid w:val="005D15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1578"/>
  </w:style>
  <w:style w:type="table" w:styleId="Tablaconcuadrcula">
    <w:name w:val="Table Grid"/>
    <w:basedOn w:val="Tablanormal"/>
    <w:uiPriority w:val="39"/>
    <w:rsid w:val="005D1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277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77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1121</Words>
  <Characters>6166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7273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Oria Pérez Aida Eugenia</dc:creator>
  <cp:keywords/>
  <dc:description/>
  <cp:lastModifiedBy>Pérez Aguilar Óscar Fernando</cp:lastModifiedBy>
  <cp:revision>2</cp:revision>
  <cp:lastPrinted>2019-03-14T12:54:00Z</cp:lastPrinted>
  <dcterms:created xsi:type="dcterms:W3CDTF">2019-04-12T09:41:00Z</dcterms:created>
  <dcterms:modified xsi:type="dcterms:W3CDTF">2019-04-12T09:41:00Z</dcterms:modified>
</cp:coreProperties>
</file>