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64B35A" w14:textId="77777777" w:rsidR="00E63D8E" w:rsidRPr="00E63D8E" w:rsidRDefault="00E63D8E" w:rsidP="00E63D8E">
      <w:pPr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63D8E">
        <w:rPr>
          <w:rFonts w:ascii="Arial" w:hAnsi="Arial" w:cs="Arial"/>
          <w:b/>
          <w:sz w:val="20"/>
          <w:szCs w:val="20"/>
          <w:u w:val="single"/>
        </w:rPr>
        <w:t>ANEXO I</w:t>
      </w:r>
    </w:p>
    <w:p w14:paraId="044180D4" w14:textId="77777777" w:rsidR="00E63D8E" w:rsidRPr="00E63D8E" w:rsidRDefault="00E63D8E" w:rsidP="00E63D8E">
      <w:pPr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FF805AD" w14:textId="77777777" w:rsidR="00E63D8E" w:rsidRPr="00E63D8E" w:rsidRDefault="00E63D8E" w:rsidP="00E63D8E">
      <w:pPr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FEB4AF" w14:textId="77777777" w:rsidR="00E63D8E" w:rsidRP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63D8E">
        <w:rPr>
          <w:rFonts w:ascii="Arial" w:hAnsi="Arial" w:cs="Arial"/>
          <w:b/>
          <w:sz w:val="20"/>
          <w:szCs w:val="20"/>
          <w:u w:val="single"/>
        </w:rPr>
        <w:t>CUERPO FACULTATIVO SUPERIOR</w:t>
      </w:r>
    </w:p>
    <w:p w14:paraId="6E667A8F" w14:textId="77777777" w:rsidR="00E63D8E" w:rsidRP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C78A9BF" w14:textId="58705422" w:rsidR="00E63D8E" w:rsidRP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63D8E">
        <w:rPr>
          <w:rFonts w:ascii="Arial" w:hAnsi="Arial" w:cs="Arial"/>
          <w:b/>
          <w:sz w:val="20"/>
          <w:szCs w:val="20"/>
          <w:u w:val="single"/>
        </w:rPr>
        <w:t>INGENIERO QUÍMICO</w:t>
      </w:r>
    </w:p>
    <w:p w14:paraId="7A5B8942" w14:textId="48C7F99B" w:rsidR="00E63D8E" w:rsidRP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4ADA7AF" w14:textId="68587763" w:rsid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63D8E">
        <w:rPr>
          <w:rFonts w:ascii="Arial" w:hAnsi="Arial" w:cs="Arial"/>
          <w:b/>
          <w:sz w:val="20"/>
          <w:szCs w:val="20"/>
          <w:u w:val="single"/>
        </w:rPr>
        <w:t>MATERIAS ESPECÍFICAS</w:t>
      </w:r>
    </w:p>
    <w:p w14:paraId="24E90568" w14:textId="1A81249A" w:rsid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765D5CD" w14:textId="3ABF8ADF" w:rsid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13F6580" w14:textId="5825CD32" w:rsidR="00E63D8E" w:rsidRDefault="00E63D8E" w:rsidP="00E63D8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CEC2EB1" w14:textId="744C35BB" w:rsidR="007F7C95" w:rsidRPr="0001273E" w:rsidRDefault="007F7C95" w:rsidP="00E63D8E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sz w:val="20"/>
          <w:szCs w:val="20"/>
          <w:u w:val="single"/>
        </w:rPr>
      </w:pPr>
    </w:p>
    <w:p w14:paraId="357BD9CE" w14:textId="16DCF91B" w:rsidR="001508D3" w:rsidRPr="00E63D8E" w:rsidRDefault="007F7C95" w:rsidP="00E63D8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>Sistemas de ordenación, clasificación y almacenamiento de productos químicos. Técnicas y equipos de almacenamiento. Condiciones de prevención de riesgos. Sistemas de identificación y control de existencias.</w:t>
      </w:r>
    </w:p>
    <w:p w14:paraId="4A890601" w14:textId="1208D363" w:rsidR="001508D3" w:rsidRPr="00F33088" w:rsidRDefault="00E169AF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E63D8E">
        <w:rPr>
          <w:sz w:val="20"/>
          <w:szCs w:val="20"/>
        </w:rPr>
        <w:t xml:space="preserve">Real Decreto 656/2017, de 23 de junio, por el que se aprueba el Reglamento de </w:t>
      </w:r>
      <w:r w:rsidR="001508D3" w:rsidRPr="00E63D8E">
        <w:rPr>
          <w:sz w:val="20"/>
          <w:szCs w:val="20"/>
        </w:rPr>
        <w:t xml:space="preserve">   </w:t>
      </w:r>
      <w:r w:rsidRPr="00E63D8E">
        <w:rPr>
          <w:sz w:val="20"/>
          <w:szCs w:val="20"/>
        </w:rPr>
        <w:t>Almacenamiento de Productos Químicos y sus Instrucciones Técnicas Complementarias MIE APQ 0 a 10</w:t>
      </w:r>
      <w:r w:rsidR="007F7C95" w:rsidRPr="001508D3">
        <w:rPr>
          <w:sz w:val="20"/>
          <w:szCs w:val="20"/>
        </w:rPr>
        <w:t>.</w:t>
      </w:r>
    </w:p>
    <w:p w14:paraId="05F3D104" w14:textId="7E207FA8" w:rsidR="001508D3" w:rsidRPr="00F33088" w:rsidRDefault="00E169AF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F33088">
        <w:rPr>
          <w:sz w:val="20"/>
          <w:szCs w:val="20"/>
        </w:rPr>
        <w:t>Reglamento (CE) nº 1272/2008 del Parlamento Europeo y del Consejo, de 16 de diciembre de 2008, sobre clasificación, etiquetado y envasado de sustancias y mezclas, y por el que se modifican y derogan las Directivas 67/548/CEE y 1999/45/CE y se modifica el Reglamento (CE) nº 1907/2006.</w:t>
      </w:r>
    </w:p>
    <w:p w14:paraId="1656E442" w14:textId="744C5AF4" w:rsidR="001508D3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>Prevención de accidentes mayores en la Industria Química. Legislación. Competencias. Planes de emergencia exterior. Higiene industrial. Higiene de campo. Higiene analítica. Higiene operativa.</w:t>
      </w:r>
    </w:p>
    <w:p w14:paraId="1B04BEE6" w14:textId="134E7124" w:rsidR="001508D3" w:rsidRPr="00F33088" w:rsidRDefault="00BB00EC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>Inspecciones medioambientales. Auditorías ambientales. Internas y externas: objeto y alcance. Procedimiento de realización de una auditoría ambiental: metodología y etapas a cubrir en la realización de una auditoría ambiental. Cuestionarios medioambientales. Acreditación, certificación y validación medioambiental. Organismos que lo realizan.</w:t>
      </w:r>
    </w:p>
    <w:p w14:paraId="77213417" w14:textId="3921CF61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>Fundamentos de la protección civil: La Ley 17/2015, de 9 de julio, del Sistema Nacional de Protección Civil y Real Decreto 407/1992, de 24 de abril, por el que se aprueba la Norma Básica de Protección Civil. Real Decreto 967/2002, de 20 de septiembre, por el que se regula la composición y régimen de funcionamiento de la Comisión Nacional de Protección Civil.</w:t>
      </w:r>
    </w:p>
    <w:p w14:paraId="3697DF10" w14:textId="7144B2E2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 xml:space="preserve">Normativa de Protección Civil de la Comunidad Autónoma de Cantabria: Ley de Cantabria del sistema de Protección Civil. Decreto 58/2013, de 10 de octubre, por el que se establece la composición, organización y régimen de funcionamiento de la Comisión de Protección Civil de la Comunidad Autónoma de Cantabria. Decreto 1/2019 de 17 de enero, por el que se regulan las organizaciones de Voluntariado de Protección Civil de Cantabria y el registro de organizaciones de Voluntariado de protección Civil de Cantabria. </w:t>
      </w:r>
    </w:p>
    <w:p w14:paraId="104139F9" w14:textId="7DF340B7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bookmarkStart w:id="0" w:name="_GoBack"/>
      <w:bookmarkEnd w:id="0"/>
      <w:r w:rsidRPr="001508D3">
        <w:rPr>
          <w:sz w:val="20"/>
          <w:szCs w:val="20"/>
        </w:rPr>
        <w:t>Los parques de emergencias de Cantabria: ubicación, descripción, zonas de intervención y medios materiales. Decisión 91/396/CEE del Consejo, de 29 de julio, relativa a la creación de un número de llamada de urgencia único europeo.</w:t>
      </w:r>
    </w:p>
    <w:p w14:paraId="308D361F" w14:textId="432FCECF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lastRenderedPageBreak/>
        <w:t>Normativa en materia de Autoprotección. Real Decreto 393/2007, de 23 de marzo, por el que se aprueba la Norma Básica de Autoprotección de los centros, establecimientos y dependencias dedicados a actividades que puedan dar origen a situaciones de emergencia. Decreto 24/2015, de 23 de abril, por el que se regula el procedimiento de Control Administrativo y Registro de los Planes de Autoprotección.</w:t>
      </w:r>
    </w:p>
    <w:p w14:paraId="3353BC7F" w14:textId="341F85B0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>Plan Territorial de Emergencias de Protección Civil de la Comunidad Autónoma de Cantabria. Decreto 80/2018, de 4 de octubre, por el que se aprueba el Plan Territorial de Emergencias de Cantabria (PLATERCANT</w:t>
      </w:r>
      <w:r w:rsidR="001508D3">
        <w:rPr>
          <w:sz w:val="20"/>
          <w:szCs w:val="20"/>
        </w:rPr>
        <w:t>).</w:t>
      </w:r>
    </w:p>
    <w:p w14:paraId="4DD4041C" w14:textId="2A29DB72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>Plan Especial de Protección Civil de la Comunidad Autónoma de Cantabria sobre Transporte de Mercancías Peligrosas por Carretera y Ferrocarril. El Decreto 17/2007, de 15 de febrero, por el que se aprueba el Plan Especial de Protección Civil de la Comunidad Autónoma de Cantabria sobre Transporte de Mercancías Peligrosas por carretera y ferrocarril (TRANSCANT).</w:t>
      </w:r>
    </w:p>
    <w:p w14:paraId="1680241E" w14:textId="3DA94257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1508D3">
        <w:rPr>
          <w:sz w:val="20"/>
          <w:szCs w:val="20"/>
        </w:rPr>
        <w:t>Plan Especial de Protección Civil de la Comunidad Autónoma de Cantabria sobre Incendios Forestales. El Decreto 16/2007, de 15 de febrero, por el que se aprueba el Plan Especial de Protección Civil de la Comunidad Autónoma de Cantabria sobre Incendios Forestales (INFOCANT).</w:t>
      </w:r>
    </w:p>
    <w:p w14:paraId="218EA4AD" w14:textId="4D394579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EA7B33">
        <w:rPr>
          <w:sz w:val="20"/>
          <w:szCs w:val="20"/>
        </w:rPr>
        <w:t>Plan Especial de Protección Civil de la Comunidad Autónoma de Cantabria sobre inundaciones. El Decreto 57/2010, de 16 de septiembre, por el que se aprueba el Plan Especial de Protección Civil de la Comunidad Autónoma de Cantabria ante el Riesgo de Inundaciones (INUNCANT).</w:t>
      </w:r>
    </w:p>
    <w:p w14:paraId="38F3FA51" w14:textId="2B864766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EA7B33">
        <w:rPr>
          <w:sz w:val="20"/>
          <w:szCs w:val="20"/>
        </w:rPr>
        <w:t>Planes especiales de riesgo químico. Real Decreto 840/2015, de 21 de septiembre, por el que se aprueban medidas de control de los riesgos inherentes a los accidentes graves en los que intervengan sustancias peligrosas. Real Decreto 1070/2012, de 13 de julio, por el que se aprueba el Plan estatal de protección civil ante el riesgo químico. Decreto 23/2013, de 2 de mayo, por el que se designan los órganos competentes de la Comunidad Autónoma de Cantabria y desarrolla el Real Decreto 1254/1999, de 16 de julio, que aprueba medidas de control de los riesgos inherentes a los accidentes graves en los que intervengan sustancias peligrosas. Planes de Emergencia Exterior. Instalaciones afectadas en Cantabria.</w:t>
      </w:r>
    </w:p>
    <w:p w14:paraId="0292DB24" w14:textId="2E8BB59C" w:rsidR="001508D3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8A4326">
        <w:rPr>
          <w:sz w:val="20"/>
          <w:szCs w:val="20"/>
        </w:rPr>
        <w:t>Tipología de las emergencias más comunes: causas, consecuencias y gestión integral.</w:t>
      </w:r>
    </w:p>
    <w:p w14:paraId="517DD638" w14:textId="2C8FE6B2" w:rsidR="0094058F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Exposición laboral a agentes físicos. Efectos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sobre la salud. Evaluación.</w:t>
      </w:r>
      <w:r w:rsidR="00C04CA7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Valores de referencia. Medidas</w:t>
      </w:r>
      <w:r>
        <w:rPr>
          <w:sz w:val="20"/>
          <w:szCs w:val="20"/>
        </w:rPr>
        <w:t xml:space="preserve"> </w:t>
      </w:r>
      <w:r w:rsidR="00CB3178">
        <w:rPr>
          <w:sz w:val="20"/>
          <w:szCs w:val="20"/>
        </w:rPr>
        <w:t>de control. Legislación.</w:t>
      </w:r>
    </w:p>
    <w:p w14:paraId="28E984CC" w14:textId="59D0ED58" w:rsidR="0094058F" w:rsidRPr="00F33088" w:rsidRDefault="00CB3178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Toxicología laboral: clasificación de los agentes químicos según estado y forma. Vías de entrada en el organismo. Interacción con el organismo. Daños derivados del trabajo a corto y largo plazo. Factores determinantes de la toxicidad. Efectos aditivos y sinérgicos. Valoración del riesgo.</w:t>
      </w:r>
    </w:p>
    <w:p w14:paraId="689DF8E3" w14:textId="437C16DC" w:rsidR="0094058F" w:rsidRPr="00F33088" w:rsidRDefault="00CB3178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Agentes químicos. Criterios de valoración. Valores límite ambientales: concepto y tipos. Valores límites ambientales de exposición profesional en España. Otros límites de referencia. Normativa española.</w:t>
      </w:r>
    </w:p>
    <w:p w14:paraId="3CD99882" w14:textId="02F3DCBD" w:rsidR="0094058F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Ventilación industrial.</w:t>
      </w:r>
      <w:r w:rsidR="00C04CA7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Ventilación general.</w:t>
      </w:r>
      <w:r w:rsidR="00C04CA7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Ventilación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localizada. Criterios de selección e instalación.</w:t>
      </w:r>
    </w:p>
    <w:p w14:paraId="151826E3" w14:textId="5CE38A20" w:rsidR="0094058F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lastRenderedPageBreak/>
        <w:t>Protección personal en la exposición laboral a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agentes físicos y químicos. Tipos de protectores. Criterios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de selección. Normativa vigente.</w:t>
      </w:r>
    </w:p>
    <w:p w14:paraId="2A1D82CB" w14:textId="6386B6C9" w:rsidR="0094058F" w:rsidRPr="00F33088" w:rsidRDefault="008A4326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Protecciones colectivas. Definición y criterios de utilización.</w:t>
      </w:r>
    </w:p>
    <w:p w14:paraId="3CF99DC7" w14:textId="2D66FAA8" w:rsidR="0094058F" w:rsidRPr="00F33088" w:rsidRDefault="00CB3178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Seguridad en el laboratorio químico. Riesgos específicos en los laboratorios químicos. Riesgos derivados de la utilización de productos químicos. Seguridad en la manipulación de material e instrumental y en operaciones básicas. Derrames y fugas de productos químicos peligrosos. Normas de seguridad y señalización.  </w:t>
      </w:r>
    </w:p>
    <w:p w14:paraId="1BBA829F" w14:textId="1FBEAE31" w:rsidR="0094058F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Análisis funcional orgánico. Descripción de los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mecanismos de reacción característicos de las principales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funciones orgánicas.</w:t>
      </w:r>
    </w:p>
    <w:p w14:paraId="58D7B271" w14:textId="11CEE415" w:rsidR="0094058F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Análisis cualitativo y cuantitativo orgánico.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Métodos de determinación cualitativa y cuantitativa de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carbono, hidrógeno, azufre, nitrógeno, halógenos, fósforo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y arsénico.</w:t>
      </w:r>
    </w:p>
    <w:p w14:paraId="32499A67" w14:textId="72A461F1" w:rsidR="0094058F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Criterios de selección del método y técnica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analítica. Clasificaciones de las técnicas analíticas instrumentales.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El proceso analítico. Parámetros analíticos y no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analíticos.</w:t>
      </w:r>
    </w:p>
    <w:p w14:paraId="5BFD6F32" w14:textId="788C56E3" w:rsidR="0094058F" w:rsidRPr="00F33088" w:rsidRDefault="00DD7D8B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Control de calidad aplicado a Laboratorios de ensayo químico y ambiental. Calibración de equipos de medida. Incertidumbre de calibración. Validación de métodos instrumentales. Incertidumbre de ensayo.</w:t>
      </w:r>
    </w:p>
    <w:p w14:paraId="1E55E12E" w14:textId="2A5E2676" w:rsidR="0094058F" w:rsidRPr="00F33088" w:rsidRDefault="00480B8B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Sistemas de calidad en laboratorios de ensayo. Acreditación en los laboratorios de ensayo y calibración Norma UNE-EN-ISO/IEC 17025. Requisitos de gestión y requisitos técnicos.</w:t>
      </w:r>
    </w:p>
    <w:p w14:paraId="76184CE2" w14:textId="76BFE5BC" w:rsidR="0094058F" w:rsidRPr="00F33088" w:rsidRDefault="009E3EBD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Metales y metalurgia. Propiedades físicas y químicas de los metales. El enlace metálico. Estado natural de los metales. Operaciones metalúrgicas. Aleaciones.</w:t>
      </w:r>
    </w:p>
    <w:p w14:paraId="4DF22C1E" w14:textId="09E10735" w:rsidR="0094058F" w:rsidRPr="00F33088" w:rsidRDefault="009E3EBD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El hierro. Propiedades físicas y químicas. Metalurgia del hierro. Altos hornos. Aceros.</w:t>
      </w:r>
    </w:p>
    <w:p w14:paraId="57A7AB7E" w14:textId="6C2D7B63" w:rsidR="0094058F" w:rsidRPr="00F33088" w:rsidRDefault="009E3EBD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El aluminio. Propiedades físicas y químicas. Metalurgia del aluminio. Afinado. Sales de aluminio.</w:t>
      </w:r>
    </w:p>
    <w:p w14:paraId="5C826882" w14:textId="4B5CE07C" w:rsidR="0094058F" w:rsidRPr="00F33088" w:rsidRDefault="009E3EBD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El cobre. Propiedades físicas y químicas. Metalurgia del cobre. Afinados. Aplicaciones. Compuestos del cobre. </w:t>
      </w:r>
    </w:p>
    <w:p w14:paraId="44867C1D" w14:textId="3E93E064" w:rsidR="0094058F" w:rsidRPr="00F33088" w:rsidRDefault="00216CE4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del cemento. Materias primas. Procesos. Productos. Consideraciones ambientales.</w:t>
      </w:r>
    </w:p>
    <w:p w14:paraId="195415C4" w14:textId="2116A276" w:rsidR="0094058F" w:rsidRPr="00F33088" w:rsidRDefault="00156F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alimentaria</w:t>
      </w:r>
      <w:r w:rsidR="00584D90">
        <w:rPr>
          <w:sz w:val="20"/>
          <w:szCs w:val="20"/>
        </w:rPr>
        <w:t>.</w:t>
      </w:r>
      <w:r w:rsidR="00584D90" w:rsidRPr="00584D90">
        <w:rPr>
          <w:sz w:val="20"/>
          <w:szCs w:val="20"/>
        </w:rPr>
        <w:t xml:space="preserve"> </w:t>
      </w:r>
      <w:r w:rsidR="00584D90">
        <w:rPr>
          <w:sz w:val="20"/>
          <w:szCs w:val="20"/>
        </w:rPr>
        <w:t>Materias primas. Procesos. Productos. Consideraciones ambientales</w:t>
      </w:r>
    </w:p>
    <w:p w14:paraId="59B7EAD9" w14:textId="362B3F12" w:rsidR="0094058F" w:rsidRPr="00F33088" w:rsidRDefault="00216CE4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de fabricación de productos químicos de base.</w:t>
      </w:r>
      <w:r w:rsidRPr="00216CE4">
        <w:rPr>
          <w:sz w:val="20"/>
          <w:szCs w:val="20"/>
        </w:rPr>
        <w:t xml:space="preserve"> </w:t>
      </w:r>
      <w:r>
        <w:rPr>
          <w:sz w:val="20"/>
          <w:szCs w:val="20"/>
        </w:rPr>
        <w:t>Materias primas. Procesos. Productos. Consideraciones ambientales.</w:t>
      </w:r>
    </w:p>
    <w:p w14:paraId="067C2FA0" w14:textId="733A5517" w:rsidR="0094058F" w:rsidRPr="00F33088" w:rsidRDefault="00216CE4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cerámica. Materias primas. Procesos. Productos. Consideraciones ambientales.</w:t>
      </w:r>
    </w:p>
    <w:p w14:paraId="3FC32C58" w14:textId="1534F4CC" w:rsidR="0094058F" w:rsidRPr="00F33088" w:rsidRDefault="00216CE4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Instalaciones de combustión. Materias primas. Procesos. Productos. Consideraciones ambientales.</w:t>
      </w:r>
    </w:p>
    <w:p w14:paraId="4A3E0410" w14:textId="7C70766F" w:rsidR="0094058F" w:rsidRPr="00F33088" w:rsidRDefault="00216CE4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del vidrio. Materias primas. Procesos. Productos. Consideraciones ambientales.</w:t>
      </w:r>
    </w:p>
    <w:p w14:paraId="4504C471" w14:textId="42FC8E1F" w:rsidR="0094058F" w:rsidRPr="00F33088" w:rsidRDefault="00F62468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lastRenderedPageBreak/>
        <w:t>Industria farmacéutica.</w:t>
      </w:r>
      <w:r w:rsidRPr="00216CE4">
        <w:rPr>
          <w:sz w:val="20"/>
          <w:szCs w:val="20"/>
        </w:rPr>
        <w:t xml:space="preserve"> </w:t>
      </w:r>
      <w:r>
        <w:rPr>
          <w:sz w:val="20"/>
          <w:szCs w:val="20"/>
        </w:rPr>
        <w:t>Materias primas. Procesos. Productos. Consideraciones ambientales.</w:t>
      </w:r>
    </w:p>
    <w:p w14:paraId="50176009" w14:textId="697B1D34" w:rsidR="0094058F" w:rsidRPr="00F33088" w:rsidRDefault="00F62468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textil. Materias primas. Procesos. Productos. Consideraciones ambientales.</w:t>
      </w:r>
    </w:p>
    <w:p w14:paraId="0CBC3400" w14:textId="6C0BD8F3" w:rsidR="00F62468" w:rsidRPr="007F7C95" w:rsidRDefault="00156F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agrícola. Materias primas. Procesos. Productos. Consideraciones ambientales</w:t>
      </w:r>
    </w:p>
    <w:p w14:paraId="6279D18D" w14:textId="73564443" w:rsidR="00F93E71" w:rsidRPr="00F33088" w:rsidRDefault="00156F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papelera. Materias primas. Procesos. Productos. Consideraciones ambientale</w:t>
      </w:r>
      <w:r w:rsidR="00F93E71">
        <w:rPr>
          <w:sz w:val="20"/>
          <w:szCs w:val="20"/>
        </w:rPr>
        <w:t>s.</w:t>
      </w:r>
    </w:p>
    <w:p w14:paraId="0D3C1DC4" w14:textId="5E8540DA" w:rsidR="00F93E71" w:rsidRPr="00F33088" w:rsidRDefault="00156F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Industria de la transformación de la madera.</w:t>
      </w:r>
      <w:r w:rsidRPr="00156F2E">
        <w:rPr>
          <w:sz w:val="20"/>
          <w:szCs w:val="20"/>
        </w:rPr>
        <w:t xml:space="preserve"> </w:t>
      </w:r>
      <w:r>
        <w:rPr>
          <w:sz w:val="20"/>
          <w:szCs w:val="20"/>
        </w:rPr>
        <w:t>Materias primas. Procesos. Productos. Consideraciones ambientales</w:t>
      </w:r>
      <w:r w:rsidR="00F93E71">
        <w:rPr>
          <w:sz w:val="20"/>
          <w:szCs w:val="20"/>
        </w:rPr>
        <w:t>.</w:t>
      </w:r>
    </w:p>
    <w:p w14:paraId="1E8F4CB7" w14:textId="2FA21F08" w:rsidR="00F93E71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Plaguicidas. Tipos. Características. Usos en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agricultura. Toxicidad. Efectos medioambientales. Legislación.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Métodos de análisis.</w:t>
      </w:r>
    </w:p>
    <w:p w14:paraId="5B42E2E7" w14:textId="1CB665AE" w:rsidR="00F93E71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Plásticos. Clasificación. Usos. Contaminación</w:t>
      </w:r>
      <w:r w:rsidR="00F93E71">
        <w:rPr>
          <w:sz w:val="20"/>
          <w:szCs w:val="20"/>
        </w:rPr>
        <w:t>.</w:t>
      </w:r>
    </w:p>
    <w:p w14:paraId="31D65E74" w14:textId="32AAFBD7" w:rsidR="00F93E71" w:rsidRPr="00F33088" w:rsidRDefault="009E3EBD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Procesado de polímeros. Métodos generales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de transformación: moldeo, extrusión, soplado, calandrado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 xml:space="preserve">y </w:t>
      </w:r>
      <w:proofErr w:type="spellStart"/>
      <w:r w:rsidRPr="007F7C95">
        <w:rPr>
          <w:sz w:val="20"/>
          <w:szCs w:val="20"/>
        </w:rPr>
        <w:t>termoconformado</w:t>
      </w:r>
      <w:proofErr w:type="spellEnd"/>
      <w:r w:rsidRPr="007F7C95">
        <w:rPr>
          <w:sz w:val="20"/>
          <w:szCs w:val="20"/>
        </w:rPr>
        <w:t>. Polímeros complejos. Recubrimiento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con materiales plásticos. En cada técnica: principios del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método de transformación, sistemas de control y parámetros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de operación. Identificación de equipos de proceso y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auxiliares y componentes. Aplicaciones.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Técnicas de recuperación,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reutilización y reciclaje</w:t>
      </w:r>
      <w:r>
        <w:rPr>
          <w:sz w:val="20"/>
          <w:szCs w:val="20"/>
        </w:rPr>
        <w:t>.</w:t>
      </w:r>
    </w:p>
    <w:p w14:paraId="77F373DF" w14:textId="1C7890BB" w:rsidR="00F93E71" w:rsidRPr="00F33088" w:rsidRDefault="009E3EBD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Principales familias de elastómeros. Caucho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natural. Constitución química, propiedades y reactividad.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Método de preparación. Caucho sintético. Síntesis, composición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y propiedades. Formulación de una mezcla de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caucho. Ingredientes. Agentes vulcanizantes. Empleo de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cargas y plastificantes. O</w:t>
      </w:r>
      <w:r>
        <w:rPr>
          <w:sz w:val="20"/>
          <w:szCs w:val="20"/>
        </w:rPr>
        <w:t>peraciones previas a la prepara</w:t>
      </w:r>
      <w:r w:rsidRPr="007F7C95">
        <w:rPr>
          <w:sz w:val="20"/>
          <w:szCs w:val="20"/>
        </w:rPr>
        <w:t>ción de mezclas. Transformación y vulcanización de las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mezclas de caucho. Técnicas de vulcanización. Técnicas</w:t>
      </w:r>
      <w:r w:rsidR="00F33088">
        <w:rPr>
          <w:sz w:val="20"/>
          <w:szCs w:val="20"/>
        </w:rPr>
        <w:t xml:space="preserve"> </w:t>
      </w:r>
      <w:r w:rsidRPr="00F33088">
        <w:rPr>
          <w:sz w:val="20"/>
          <w:szCs w:val="20"/>
        </w:rPr>
        <w:t>de recuperación, reutilización y reciclaje de cauchos.</w:t>
      </w:r>
      <w:r w:rsidR="00381330" w:rsidRPr="00F33088">
        <w:rPr>
          <w:sz w:val="20"/>
          <w:szCs w:val="20"/>
        </w:rPr>
        <w:t xml:space="preserve"> </w:t>
      </w:r>
    </w:p>
    <w:p w14:paraId="4C91009C" w14:textId="758536C3" w:rsidR="00F93E71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 xml:space="preserve">Detergentes </w:t>
      </w:r>
      <w:proofErr w:type="spellStart"/>
      <w:r w:rsidRPr="007F7C95">
        <w:rPr>
          <w:sz w:val="20"/>
          <w:szCs w:val="20"/>
        </w:rPr>
        <w:t>tensoactivos</w:t>
      </w:r>
      <w:proofErr w:type="spellEnd"/>
      <w:r w:rsidRPr="007F7C95">
        <w:rPr>
          <w:sz w:val="20"/>
          <w:szCs w:val="20"/>
        </w:rPr>
        <w:t>. Detergentes biodegradables.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Contaminación</w:t>
      </w:r>
      <w:r w:rsidR="00F93E71">
        <w:rPr>
          <w:sz w:val="20"/>
          <w:szCs w:val="20"/>
        </w:rPr>
        <w:t>.</w:t>
      </w:r>
    </w:p>
    <w:p w14:paraId="5663A222" w14:textId="49D32021" w:rsidR="00F93E71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Abonos inorgánicos. Tipos. Usos en agricultura.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Contaminación. Legislación</w:t>
      </w:r>
      <w:r w:rsidR="00F93E71">
        <w:rPr>
          <w:sz w:val="20"/>
          <w:szCs w:val="20"/>
        </w:rPr>
        <w:t>.</w:t>
      </w:r>
    </w:p>
    <w:p w14:paraId="5A8785EA" w14:textId="6023D3F2" w:rsidR="00F93E71" w:rsidRPr="00F33088" w:rsidRDefault="0000532D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La materia orgánica del suelo. Características.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Medidas correctoras de la deficiencia en materia orgánica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en los suelos. Nutrientes en suelos.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Métodos de análisis</w:t>
      </w:r>
      <w:r w:rsidR="009E3EBD">
        <w:rPr>
          <w:sz w:val="20"/>
          <w:szCs w:val="20"/>
        </w:rPr>
        <w:t>.</w:t>
      </w:r>
    </w:p>
    <w:p w14:paraId="78539E30" w14:textId="787440EA" w:rsidR="00F93E71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El agua</w:t>
      </w:r>
      <w:r w:rsidR="009E3EBD">
        <w:rPr>
          <w:sz w:val="20"/>
          <w:szCs w:val="20"/>
        </w:rPr>
        <w:t xml:space="preserve"> en la industria. Tipos de aguas residuales industriales. Ciclo del agua en la industria. Tratamientos del agua en la industria.</w:t>
      </w:r>
    </w:p>
    <w:p w14:paraId="04372C8F" w14:textId="03D5EBD2" w:rsidR="00F93E71" w:rsidRPr="00F33088" w:rsidRDefault="008D42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El agua de consumo humano. Vigilancia sanitaria. Parámetros indicadores y valores paramétricos. Legislación nacional y europea. </w:t>
      </w:r>
    </w:p>
    <w:p w14:paraId="5BDAE7E0" w14:textId="5D3790F2" w:rsidR="008D422E" w:rsidRDefault="008D42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Correcciones de las características físico-químicas del agua de abastecimiento público: agresividad, ablandamiento, </w:t>
      </w:r>
      <w:proofErr w:type="spellStart"/>
      <w:r>
        <w:rPr>
          <w:sz w:val="20"/>
          <w:szCs w:val="20"/>
        </w:rPr>
        <w:t>desferrización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fluoración</w:t>
      </w:r>
      <w:proofErr w:type="spellEnd"/>
      <w:r>
        <w:rPr>
          <w:sz w:val="20"/>
          <w:szCs w:val="20"/>
        </w:rPr>
        <w:t>, potabilización de aguas salobres o marinas y desmineralización.</w:t>
      </w:r>
    </w:p>
    <w:p w14:paraId="65AF9659" w14:textId="77777777" w:rsidR="00F93E71" w:rsidRPr="00F33088" w:rsidRDefault="00F93E71" w:rsidP="00F33088">
      <w:pPr>
        <w:autoSpaceDE w:val="0"/>
        <w:autoSpaceDN w:val="0"/>
        <w:adjustRightInd w:val="0"/>
        <w:spacing w:before="120" w:after="0" w:line="240" w:lineRule="auto"/>
        <w:rPr>
          <w:sz w:val="20"/>
          <w:szCs w:val="20"/>
        </w:rPr>
      </w:pPr>
    </w:p>
    <w:p w14:paraId="39883D33" w14:textId="5CEC9598" w:rsidR="00F93E71" w:rsidRPr="00F33088" w:rsidRDefault="008D42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Vigilancia de las aguas (I): Toma de muestras para el análisis microbiológico de las aguas de consumo público: técnicas de muestreo, material, acondicionamiento y conservación. Número de tomas a efectuar en función de la población abastecida. Microbiologí</w:t>
      </w:r>
      <w:r w:rsidR="00331CAF">
        <w:rPr>
          <w:sz w:val="20"/>
          <w:szCs w:val="20"/>
        </w:rPr>
        <w:t>a de las aguas de consumo humano</w:t>
      </w:r>
      <w:r>
        <w:rPr>
          <w:sz w:val="20"/>
          <w:szCs w:val="20"/>
        </w:rPr>
        <w:t>. Técnicas analíticas.</w:t>
      </w:r>
    </w:p>
    <w:p w14:paraId="3FF3F650" w14:textId="75A9B90A" w:rsidR="00F93E71" w:rsidRPr="00F33088" w:rsidRDefault="00331CAF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lastRenderedPageBreak/>
        <w:t>Vigilancia de las aguas (II): Toma de muestras para el análisis físico-químico de las aguas de consumo público: técnicas de muestro, material, acondicionamiento y conservación de la muestra en función de los parámetros a determinar. Tipos de análisis y número de tomas a efectuar en función de la población abastecida.</w:t>
      </w:r>
    </w:p>
    <w:p w14:paraId="589D0D7A" w14:textId="2DD0FBAC" w:rsidR="00F93E71" w:rsidRPr="00F33088" w:rsidRDefault="00331CAF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Estaciones de tratamiento de agua potable. Pretratamiento de aguas potables. Procesos de coagulación, floculación, sedimentación y filtración. Reactivos autorizados en estos tratamientos. Línea de fangos. Desinfección de los efluentes para la reutilización. Tratamientos avanzados para la regeneración de aguas residuales.</w:t>
      </w:r>
    </w:p>
    <w:p w14:paraId="4E257C41" w14:textId="6A8B65A7" w:rsidR="00F93E71" w:rsidRPr="00F33088" w:rsidRDefault="00331CAF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Estaciones depuradoras de aguas residuales: Pretratamientos. Tratamientos primarios. Introducción a los procesos biológicos. Fangos activados. Procesos biológicos de cultivo fijo. Línea de fangos. Desinfección de los efluentes para la reutilización. Tratamientos avanzados para la regeneración de aguas residuales.</w:t>
      </w:r>
    </w:p>
    <w:p w14:paraId="5A2D1A00" w14:textId="1BCBEF76" w:rsidR="00F93E71" w:rsidRPr="00F33088" w:rsidRDefault="0035303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Vertidos al litoral de la Comunidad Autónoma de Cantabria: legislación estatal y autonómica aplicable. Competencias sobre vertidos al mar en el ámbito del litoral de la Comunidad Autónoma de Cantabria. Requisitos y contenido a incluir en una autorización de vertido. Procedimiento de obtención y tramitación de autorización de vertidos al mar desde tierra, en el ámbito de la Comunidad Autónoma de Cantabria.</w:t>
      </w:r>
    </w:p>
    <w:p w14:paraId="56CBC739" w14:textId="180DB538" w:rsidR="00F93E71" w:rsidRPr="00F33088" w:rsidRDefault="0035303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Principales normas y competencias en materia de costas y medio marino en la Comunidad Autónoma de Cantabria. Reglamento</w:t>
      </w:r>
      <w:r w:rsidR="00803E6A">
        <w:rPr>
          <w:sz w:val="20"/>
          <w:szCs w:val="20"/>
        </w:rPr>
        <w:t xml:space="preserve"> general para el desarrollo y</w:t>
      </w:r>
      <w:r>
        <w:rPr>
          <w:sz w:val="20"/>
          <w:szCs w:val="20"/>
        </w:rPr>
        <w:t xml:space="preserve"> ejecución de la Ley de Costas: Dominio Público Marítimo Terrestre.</w:t>
      </w:r>
    </w:p>
    <w:p w14:paraId="33AE713C" w14:textId="01D28FF7" w:rsidR="00F93E71" w:rsidRPr="00F33088" w:rsidRDefault="0035303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Canon de saneamiento de Cantabria. Normativa v</w:t>
      </w:r>
      <w:r w:rsidR="00BB00EC">
        <w:rPr>
          <w:sz w:val="20"/>
          <w:szCs w:val="20"/>
        </w:rPr>
        <w:t>i</w:t>
      </w:r>
      <w:r>
        <w:rPr>
          <w:sz w:val="20"/>
          <w:szCs w:val="20"/>
        </w:rPr>
        <w:t>gente para la aplicación del canon de saneamiento en la Comunidad Autónoma de Cantabria.</w:t>
      </w:r>
    </w:p>
    <w:p w14:paraId="59B031EC" w14:textId="3DE2A6BC" w:rsidR="00F93E71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Contaminación de aguas continentales. Vertidos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industriales. Vertidos urbanos. Medidas anticontaminantes.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Control de las aguas. Organismos de cuenca.</w:t>
      </w:r>
    </w:p>
    <w:p w14:paraId="11BC744E" w14:textId="47B7244E" w:rsidR="00ED1245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>Contaminación de aguas subterráneas.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Aspectos básicos en la contaminación de los acuíferos.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Focos potenciales de contaminación de los acuíferos.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Medidas anticontaminación. Legislación</w:t>
      </w:r>
      <w:r w:rsidR="00F93E71">
        <w:rPr>
          <w:sz w:val="20"/>
          <w:szCs w:val="20"/>
        </w:rPr>
        <w:t>.</w:t>
      </w:r>
    </w:p>
    <w:p w14:paraId="2A92A718" w14:textId="3CC8D7A0" w:rsidR="00F93E71" w:rsidRPr="00F33088" w:rsidRDefault="00803E6A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Ley de aguas.</w:t>
      </w:r>
      <w:r w:rsidRPr="0035303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Regulación del dominio público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hidráulico. Usos del agua. Competencias.</w:t>
      </w:r>
      <w:r>
        <w:rPr>
          <w:sz w:val="20"/>
          <w:szCs w:val="20"/>
        </w:rPr>
        <w:t xml:space="preserve"> </w:t>
      </w:r>
    </w:p>
    <w:p w14:paraId="2C91A775" w14:textId="13750D46" w:rsidR="00F93E71" w:rsidRPr="00F33088" w:rsidRDefault="009C7EC7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Marco jurídico de la produ</w:t>
      </w:r>
      <w:r w:rsidR="00353035">
        <w:rPr>
          <w:sz w:val="20"/>
          <w:szCs w:val="20"/>
        </w:rPr>
        <w:t>cción y gestión de residuos. Ley</w:t>
      </w:r>
      <w:r>
        <w:rPr>
          <w:sz w:val="20"/>
          <w:szCs w:val="20"/>
        </w:rPr>
        <w:t xml:space="preserve"> 22/2011, de 28 de julio, de residuos y suelos contaminados. Competencias administrativas y régimen de autorizaciones y comunicaciones.</w:t>
      </w:r>
    </w:p>
    <w:p w14:paraId="246AEEE9" w14:textId="7DFAD2F1" w:rsidR="0085275E" w:rsidRPr="00F33088" w:rsidRDefault="009C7EC7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Clasificación y caracterización de residuos</w:t>
      </w:r>
      <w:r w:rsidR="00F93E71">
        <w:rPr>
          <w:sz w:val="20"/>
          <w:szCs w:val="20"/>
        </w:rPr>
        <w:t>.</w:t>
      </w:r>
    </w:p>
    <w:p w14:paraId="2A1208B3" w14:textId="5B9DC565" w:rsidR="0085275E" w:rsidRPr="00F33088" w:rsidRDefault="009C7EC7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Principales operaciones de tratamiento de residuos.</w:t>
      </w:r>
    </w:p>
    <w:p w14:paraId="5917D806" w14:textId="73DE11C9" w:rsidR="00480B8B" w:rsidRDefault="00480B8B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Traslados de residuos</w:t>
      </w:r>
      <w:r w:rsidR="00D45912">
        <w:rPr>
          <w:sz w:val="20"/>
          <w:szCs w:val="20"/>
        </w:rPr>
        <w:t>. Real Decreto 180/2015, de 13 de marzo, p</w:t>
      </w:r>
      <w:r w:rsidR="00EF67C0">
        <w:rPr>
          <w:sz w:val="20"/>
          <w:szCs w:val="20"/>
        </w:rPr>
        <w:t>or el que se regula el traslado</w:t>
      </w:r>
      <w:r w:rsidR="00D45912">
        <w:rPr>
          <w:sz w:val="20"/>
          <w:szCs w:val="20"/>
        </w:rPr>
        <w:t xml:space="preserve"> de residuos en el interior del territorio del Estado. </w:t>
      </w:r>
      <w:r w:rsidR="00EF67C0">
        <w:rPr>
          <w:sz w:val="20"/>
          <w:szCs w:val="20"/>
        </w:rPr>
        <w:t>Traslados transfronterizos. Sistema de información ambiental de Cantabria (SIACAN).</w:t>
      </w:r>
    </w:p>
    <w:p w14:paraId="2B4704CC" w14:textId="77777777" w:rsidR="0085275E" w:rsidRPr="00F33088" w:rsidRDefault="0085275E" w:rsidP="00F33088">
      <w:pPr>
        <w:autoSpaceDE w:val="0"/>
        <w:autoSpaceDN w:val="0"/>
        <w:adjustRightInd w:val="0"/>
        <w:spacing w:before="120" w:after="0" w:line="240" w:lineRule="auto"/>
        <w:rPr>
          <w:sz w:val="20"/>
          <w:szCs w:val="20"/>
        </w:rPr>
      </w:pPr>
    </w:p>
    <w:p w14:paraId="4EC63383" w14:textId="552AE189" w:rsidR="0085275E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t xml:space="preserve">Residuos </w:t>
      </w:r>
      <w:r w:rsidR="008C457C">
        <w:rPr>
          <w:sz w:val="20"/>
          <w:szCs w:val="20"/>
        </w:rPr>
        <w:t>domésticos</w:t>
      </w:r>
      <w:r w:rsidRPr="007F7C95">
        <w:rPr>
          <w:sz w:val="20"/>
          <w:szCs w:val="20"/>
        </w:rPr>
        <w:t>. Composición. Sistemas</w:t>
      </w:r>
      <w:r w:rsidR="00ED1245"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 xml:space="preserve">de recogida y transporte. </w:t>
      </w:r>
      <w:r w:rsidR="008C457C">
        <w:rPr>
          <w:sz w:val="20"/>
          <w:szCs w:val="20"/>
        </w:rPr>
        <w:t xml:space="preserve">Operaciones </w:t>
      </w:r>
      <w:r w:rsidR="00EF67C0">
        <w:rPr>
          <w:sz w:val="20"/>
          <w:szCs w:val="20"/>
        </w:rPr>
        <w:t>d</w:t>
      </w:r>
      <w:r w:rsidR="008C457C">
        <w:rPr>
          <w:sz w:val="20"/>
          <w:szCs w:val="20"/>
        </w:rPr>
        <w:t>e tratamiento de los residuos.</w:t>
      </w:r>
    </w:p>
    <w:p w14:paraId="58DF256A" w14:textId="0C01E7BA" w:rsidR="0085275E" w:rsidRPr="00F33088" w:rsidRDefault="00156F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7F7C95">
        <w:rPr>
          <w:sz w:val="20"/>
          <w:szCs w:val="20"/>
        </w:rPr>
        <w:lastRenderedPageBreak/>
        <w:t xml:space="preserve">Reciclado de los residuos </w:t>
      </w:r>
      <w:r>
        <w:rPr>
          <w:sz w:val="20"/>
          <w:szCs w:val="20"/>
        </w:rPr>
        <w:t>domésticos</w:t>
      </w:r>
      <w:r w:rsidRPr="007F7C95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Recogida selectiva. Plásticos. Vidrios. Papel. Metales. Condiciones económicas de reciclado.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Aprovechamiento de la materia orgánica de los residuos</w:t>
      </w:r>
      <w:r>
        <w:rPr>
          <w:sz w:val="20"/>
          <w:szCs w:val="20"/>
        </w:rPr>
        <w:t xml:space="preserve"> domésticos</w:t>
      </w:r>
      <w:r w:rsidRPr="007F7C95">
        <w:rPr>
          <w:sz w:val="20"/>
          <w:szCs w:val="20"/>
        </w:rPr>
        <w:t>. Instalaciones de compostaje. Compost</w:t>
      </w:r>
      <w:r>
        <w:rPr>
          <w:sz w:val="20"/>
          <w:szCs w:val="20"/>
        </w:rPr>
        <w:t xml:space="preserve"> y material </w:t>
      </w:r>
      <w:proofErr w:type="spellStart"/>
      <w:r>
        <w:rPr>
          <w:sz w:val="20"/>
          <w:szCs w:val="20"/>
        </w:rPr>
        <w:t>bioestabilizado</w:t>
      </w:r>
      <w:proofErr w:type="spellEnd"/>
      <w:r w:rsidRPr="007F7C95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características y propiedades, utilización en agricultura.</w:t>
      </w:r>
      <w:r>
        <w:rPr>
          <w:sz w:val="20"/>
          <w:szCs w:val="20"/>
        </w:rPr>
        <w:t xml:space="preserve"> </w:t>
      </w:r>
      <w:r w:rsidRPr="007F7C95">
        <w:rPr>
          <w:sz w:val="20"/>
          <w:szCs w:val="20"/>
        </w:rPr>
        <w:t>Otras aplicaciones</w:t>
      </w:r>
      <w:r w:rsidR="0085275E">
        <w:rPr>
          <w:sz w:val="20"/>
          <w:szCs w:val="20"/>
        </w:rPr>
        <w:t>.</w:t>
      </w:r>
    </w:p>
    <w:p w14:paraId="4B0F9ADD" w14:textId="37E591D4" w:rsidR="0085275E" w:rsidRPr="00F33088" w:rsidRDefault="00156F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Eliminación de residuos mediante depósito en vertedero. </w:t>
      </w:r>
      <w:r w:rsidR="007F7C95" w:rsidRPr="007F7C95">
        <w:rPr>
          <w:sz w:val="20"/>
          <w:szCs w:val="20"/>
        </w:rPr>
        <w:t>Vertederos controlados. Características. Tipos</w:t>
      </w:r>
      <w:r w:rsidR="00ED1245">
        <w:rPr>
          <w:sz w:val="20"/>
          <w:szCs w:val="20"/>
        </w:rPr>
        <w:t xml:space="preserve"> </w:t>
      </w:r>
      <w:r w:rsidR="007F7C95" w:rsidRPr="007F7C95">
        <w:rPr>
          <w:sz w:val="20"/>
          <w:szCs w:val="20"/>
        </w:rPr>
        <w:t>de maquinaria. Ubicación de vertederos controlados. Factores</w:t>
      </w:r>
      <w:r w:rsidR="00ED1245">
        <w:rPr>
          <w:sz w:val="20"/>
          <w:szCs w:val="20"/>
        </w:rPr>
        <w:t xml:space="preserve"> </w:t>
      </w:r>
      <w:r w:rsidR="007F7C95" w:rsidRPr="007F7C95">
        <w:rPr>
          <w:sz w:val="20"/>
          <w:szCs w:val="20"/>
        </w:rPr>
        <w:t>a considerar. Lixiviados. Aprovechamiento de biogás</w:t>
      </w:r>
      <w:r w:rsidR="008C457C">
        <w:rPr>
          <w:sz w:val="20"/>
          <w:szCs w:val="20"/>
        </w:rPr>
        <w:t>. Legislación estatal</w:t>
      </w:r>
      <w:r w:rsidR="0085275E">
        <w:rPr>
          <w:sz w:val="20"/>
          <w:szCs w:val="20"/>
        </w:rPr>
        <w:t>.</w:t>
      </w:r>
    </w:p>
    <w:p w14:paraId="7E7FCCCE" w14:textId="26C78416" w:rsidR="0085275E" w:rsidRPr="00F33088" w:rsidRDefault="00156F2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Incineración de residuos. Tipos. Tecnologías. Sistemas de depuración. Legislación.</w:t>
      </w:r>
      <w:r w:rsidR="007F7C95" w:rsidRPr="007F7C95">
        <w:rPr>
          <w:sz w:val="20"/>
          <w:szCs w:val="20"/>
        </w:rPr>
        <w:t xml:space="preserve"> Recomendaciones en el uso de</w:t>
      </w:r>
      <w:r w:rsidR="00ED1245">
        <w:rPr>
          <w:sz w:val="20"/>
          <w:szCs w:val="20"/>
        </w:rPr>
        <w:t xml:space="preserve"> </w:t>
      </w:r>
      <w:r w:rsidR="007F7C95" w:rsidRPr="007F7C95">
        <w:rPr>
          <w:sz w:val="20"/>
          <w:szCs w:val="20"/>
        </w:rPr>
        <w:t>la incineración</w:t>
      </w:r>
      <w:r w:rsidR="0085275E">
        <w:rPr>
          <w:sz w:val="20"/>
          <w:szCs w:val="20"/>
        </w:rPr>
        <w:t>.</w:t>
      </w:r>
    </w:p>
    <w:p w14:paraId="695E0F69" w14:textId="25633ACD" w:rsidR="0085275E" w:rsidRPr="00F33088" w:rsidRDefault="009C7EC7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Gestión y producción de vehículos al final de su vida útil, neumáticos fuera de uso y aceites industriales.</w:t>
      </w:r>
    </w:p>
    <w:p w14:paraId="14064A87" w14:textId="52D0F686" w:rsidR="0085275E" w:rsidRPr="00F33088" w:rsidRDefault="009C7EC7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Gestión y producción de residuos de aparatos eléctricos y electrónicos, pilas, baterías y acumuladores y PCB/PCT.</w:t>
      </w:r>
    </w:p>
    <w:p w14:paraId="64D139B3" w14:textId="2D088E92" w:rsidR="0085275E" w:rsidRPr="00F33088" w:rsidRDefault="009C7EC7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Gestión y producción de residuos de construcción y demolición, escorias y residuos sanitarios y asimilados. Especial referencia a la legislación autonómica.</w:t>
      </w:r>
    </w:p>
    <w:p w14:paraId="7F108174" w14:textId="6952D8D0" w:rsidR="0085275E" w:rsidRPr="00F33088" w:rsidRDefault="0085275E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Plan de Residuos de Cantabria 2017-2023.</w:t>
      </w:r>
    </w:p>
    <w:p w14:paraId="729851F3" w14:textId="284C2BFE" w:rsidR="0085275E" w:rsidRPr="00F33088" w:rsidRDefault="009C7EC7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Contaminación de suelos. Parámetros de control. Técnicas de descontaminación. </w:t>
      </w:r>
      <w:r w:rsidRPr="002F2150">
        <w:rPr>
          <w:sz w:val="20"/>
          <w:szCs w:val="20"/>
        </w:rPr>
        <w:t>Normativa.</w:t>
      </w:r>
    </w:p>
    <w:p w14:paraId="2CAF4CD1" w14:textId="24A07F0D" w:rsidR="0085275E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2F2150">
        <w:rPr>
          <w:sz w:val="20"/>
          <w:szCs w:val="20"/>
        </w:rPr>
        <w:t>La contaminación del aire. Consideraciones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generales: características del medio físico atmosférico</w:t>
      </w:r>
      <w:r w:rsidR="00BB00EC">
        <w:rPr>
          <w:sz w:val="20"/>
          <w:szCs w:val="20"/>
        </w:rPr>
        <w:t>.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 xml:space="preserve">Contaminantes primarios y secundarios del aire. </w:t>
      </w:r>
      <w:r w:rsidR="009A518C" w:rsidRPr="002F2150">
        <w:rPr>
          <w:sz w:val="20"/>
          <w:szCs w:val="20"/>
        </w:rPr>
        <w:t xml:space="preserve">Partículas, </w:t>
      </w:r>
      <w:r w:rsidRPr="002F2150">
        <w:rPr>
          <w:sz w:val="20"/>
          <w:szCs w:val="20"/>
        </w:rPr>
        <w:t>Monóxido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de carbono. Óxidos de nitrógeno. Dióxido de azufre.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Dióxidos de carbono. Ozono. Hidrocarburos. Oxidantes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fotoquímicos. Lluvia ácida. Fuentes de contaminación.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Efectos sobre el medio ambiente y la salud humana</w:t>
      </w:r>
      <w:r w:rsidR="00480B8B">
        <w:rPr>
          <w:sz w:val="20"/>
          <w:szCs w:val="20"/>
        </w:rPr>
        <w:t>.</w:t>
      </w:r>
    </w:p>
    <w:p w14:paraId="3A683DA1" w14:textId="2962F848" w:rsidR="0085275E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2F2150">
        <w:rPr>
          <w:sz w:val="20"/>
          <w:szCs w:val="20"/>
        </w:rPr>
        <w:t xml:space="preserve">Control </w:t>
      </w:r>
      <w:r w:rsidR="009A518C" w:rsidRPr="002F2150">
        <w:rPr>
          <w:sz w:val="20"/>
          <w:szCs w:val="20"/>
        </w:rPr>
        <w:t xml:space="preserve">de la calidad del aire. </w:t>
      </w:r>
      <w:r w:rsidRPr="002F2150">
        <w:rPr>
          <w:sz w:val="20"/>
          <w:szCs w:val="20"/>
        </w:rPr>
        <w:t>Valores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límite de</w:t>
      </w:r>
      <w:r w:rsidR="009A518C" w:rsidRPr="002F2150">
        <w:rPr>
          <w:sz w:val="20"/>
          <w:szCs w:val="20"/>
        </w:rPr>
        <w:t xml:space="preserve"> inmisión</w:t>
      </w:r>
      <w:r w:rsidR="008C457C" w:rsidRPr="002F2150">
        <w:rPr>
          <w:sz w:val="20"/>
          <w:szCs w:val="20"/>
        </w:rPr>
        <w:t>.</w:t>
      </w:r>
      <w:r w:rsidRPr="002F2150">
        <w:rPr>
          <w:sz w:val="20"/>
          <w:szCs w:val="20"/>
        </w:rPr>
        <w:t xml:space="preserve"> Equipos de medición de la calidad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del aire. Toma y acondicionamiento de la muestra. Redes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de vigilancia de la contaminación atmosférica. Estaciones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fijas y móviles. Criterios de ubicación de estaciones. Equipos.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Sistemas de calibración. Sistemas de transmisión de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datos. La red de vigilancia de la calidad del aire de Cantabria</w:t>
      </w:r>
      <w:r w:rsidR="009A518C" w:rsidRPr="002F2150">
        <w:rPr>
          <w:sz w:val="20"/>
          <w:szCs w:val="20"/>
        </w:rPr>
        <w:t>.</w:t>
      </w:r>
    </w:p>
    <w:p w14:paraId="48AA7D82" w14:textId="4A72A85B" w:rsidR="0085275E" w:rsidRPr="00F33088" w:rsidRDefault="009A518C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2F2150">
        <w:rPr>
          <w:sz w:val="20"/>
          <w:szCs w:val="20"/>
        </w:rPr>
        <w:t>Sistemas de reducción de emisiones en la industria. Ciclones, filtros de mangas, filtros electroestáticos, sistemas de reducción de óxidos de nitrógeno.</w:t>
      </w:r>
    </w:p>
    <w:p w14:paraId="6F389EE0" w14:textId="24BC1452" w:rsidR="0085275E" w:rsidRPr="00F33088" w:rsidRDefault="009A518C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2F2150">
        <w:rPr>
          <w:sz w:val="20"/>
          <w:szCs w:val="20"/>
        </w:rPr>
        <w:t>Normativa referente a las Actividades Potencialmente Contaminadoras de la Atmósfera (APCA). Ley 34/2007 de Calidad del Aire y Protección de la atmósfera. Decreto 50/2009 por el que se regula el control de la Contaminación Atmosférica Industrial en la C.A. de Cantabria. Catálogo de actividades APCA.</w:t>
      </w:r>
    </w:p>
    <w:p w14:paraId="6374BF8D" w14:textId="6C080CD5" w:rsidR="0085275E" w:rsidRPr="00F33088" w:rsidRDefault="009A518C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2F2150">
        <w:rPr>
          <w:sz w:val="20"/>
          <w:szCs w:val="20"/>
        </w:rPr>
        <w:t>Cambio Climático. Principales gases de efecto invernadero. Potencial de Calentamiento Global. Compromisos nacionales y europeos. Comercio de derechos de emisión.</w:t>
      </w:r>
    </w:p>
    <w:p w14:paraId="6B8C879F" w14:textId="3A09D282" w:rsidR="0085275E" w:rsidRPr="00F33088" w:rsidRDefault="007F7C95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 w:rsidRPr="002F2150">
        <w:rPr>
          <w:sz w:val="20"/>
          <w:szCs w:val="20"/>
        </w:rPr>
        <w:t>El ruido como agente contaminante. El ruido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>en áreas urbanas.</w:t>
      </w:r>
      <w:r w:rsidR="00525550" w:rsidRPr="002F2150">
        <w:rPr>
          <w:sz w:val="20"/>
          <w:szCs w:val="20"/>
        </w:rPr>
        <w:t xml:space="preserve"> Ley 37/2003 del Ruido y reglamentos derivados.</w:t>
      </w:r>
      <w:r w:rsidRPr="002F2150">
        <w:rPr>
          <w:sz w:val="20"/>
          <w:szCs w:val="20"/>
        </w:rPr>
        <w:t xml:space="preserve"> Norma</w:t>
      </w:r>
      <w:r w:rsidR="00ED1245" w:rsidRPr="002F2150">
        <w:rPr>
          <w:sz w:val="20"/>
          <w:szCs w:val="20"/>
        </w:rPr>
        <w:t xml:space="preserve"> </w:t>
      </w:r>
      <w:r w:rsidRPr="002F2150">
        <w:rPr>
          <w:sz w:val="20"/>
          <w:szCs w:val="20"/>
        </w:rPr>
        <w:t xml:space="preserve">básica de edificación: condiciones acústicas. </w:t>
      </w:r>
      <w:r w:rsidR="008C457C" w:rsidRPr="002F2150">
        <w:rPr>
          <w:sz w:val="20"/>
          <w:szCs w:val="20"/>
        </w:rPr>
        <w:t>Med</w:t>
      </w:r>
      <w:r w:rsidRPr="002F2150">
        <w:rPr>
          <w:sz w:val="20"/>
          <w:szCs w:val="20"/>
        </w:rPr>
        <w:t>idas correctoras. Vibraciones</w:t>
      </w:r>
      <w:r w:rsidR="0085275E">
        <w:rPr>
          <w:sz w:val="20"/>
          <w:szCs w:val="20"/>
        </w:rPr>
        <w:t>.</w:t>
      </w:r>
    </w:p>
    <w:p w14:paraId="2E33226B" w14:textId="2D16095B" w:rsidR="0085275E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>Ley 21/2013, de 9 de diciembre, de evaluación ambiental</w:t>
      </w:r>
      <w:r w:rsidR="007F7C95" w:rsidRPr="002F2150">
        <w:rPr>
          <w:sz w:val="20"/>
          <w:szCs w:val="20"/>
        </w:rPr>
        <w:t>.</w:t>
      </w:r>
    </w:p>
    <w:p w14:paraId="1FE84105" w14:textId="1486A3D8" w:rsidR="0085275E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lastRenderedPageBreak/>
        <w:t>Ley 17/2006, de 11 de diciembre, de control ambiental integrado de Cantabria. Decreto 19/2010, por el que se aprueba el reglamento de la Ley 17/2006, de 11 de diciembre, de control ambiental integrado de Cantabria.</w:t>
      </w:r>
    </w:p>
    <w:p w14:paraId="7D8F7169" w14:textId="37AF09E7" w:rsidR="00584D90" w:rsidRPr="00F33088" w:rsidRDefault="00EA7B33" w:rsidP="00F33088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Real Decreto Legislativo 1/2016, por el que se aprueba el texto refundido de la Ley de prevención y </w:t>
      </w:r>
      <w:r w:rsidR="009E3EBD">
        <w:rPr>
          <w:sz w:val="20"/>
          <w:szCs w:val="20"/>
        </w:rPr>
        <w:t>c</w:t>
      </w:r>
      <w:r>
        <w:rPr>
          <w:sz w:val="20"/>
          <w:szCs w:val="20"/>
        </w:rPr>
        <w:t xml:space="preserve">ontrol de la </w:t>
      </w:r>
      <w:r w:rsidR="009E3EBD">
        <w:rPr>
          <w:sz w:val="20"/>
          <w:szCs w:val="20"/>
        </w:rPr>
        <w:t>c</w:t>
      </w:r>
      <w:r>
        <w:rPr>
          <w:sz w:val="20"/>
          <w:szCs w:val="20"/>
        </w:rPr>
        <w:t>ontaminación. Las autorizaciones ambientales de Cantabria, procedimiento y legislación.</w:t>
      </w:r>
    </w:p>
    <w:p w14:paraId="02FED57D" w14:textId="77777777" w:rsidR="007D0E2C" w:rsidRDefault="007D0E2C" w:rsidP="001508D3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0550D822" w14:textId="77777777" w:rsidR="007D0E2C" w:rsidRDefault="007D0E2C" w:rsidP="001508D3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09803AEB" w14:textId="77777777" w:rsidR="007D0E2C" w:rsidRDefault="007D0E2C" w:rsidP="001508D3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88D8452" w14:textId="2CD15581" w:rsidR="00584D90" w:rsidRPr="007F7C95" w:rsidRDefault="00584D90" w:rsidP="00F33088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781A18C0" w14:textId="77777777" w:rsidR="00584D90" w:rsidRPr="002F2150" w:rsidRDefault="00584D90" w:rsidP="001508D3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sectPr w:rsidR="00584D90" w:rsidRPr="002F21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9768B5" w14:textId="77777777" w:rsidR="00E63D8E" w:rsidRDefault="00E63D8E" w:rsidP="00E63D8E">
      <w:pPr>
        <w:spacing w:after="0" w:line="240" w:lineRule="auto"/>
      </w:pPr>
      <w:r>
        <w:separator/>
      </w:r>
    </w:p>
  </w:endnote>
  <w:endnote w:type="continuationSeparator" w:id="0">
    <w:p w14:paraId="715898C8" w14:textId="77777777" w:rsidR="00E63D8E" w:rsidRDefault="00E63D8E" w:rsidP="00E63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82E2DD" w14:textId="77777777" w:rsidR="00FB098C" w:rsidRDefault="00FB09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C28EDF" w14:textId="77777777" w:rsidR="00FB098C" w:rsidRDefault="00FB098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0E4343" w14:textId="77777777" w:rsidR="00FB098C" w:rsidRDefault="00FB09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94EF75" w14:textId="77777777" w:rsidR="00E63D8E" w:rsidRDefault="00E63D8E" w:rsidP="00E63D8E">
      <w:pPr>
        <w:spacing w:after="0" w:line="240" w:lineRule="auto"/>
      </w:pPr>
      <w:r>
        <w:separator/>
      </w:r>
    </w:p>
  </w:footnote>
  <w:footnote w:type="continuationSeparator" w:id="0">
    <w:p w14:paraId="2F1695C0" w14:textId="77777777" w:rsidR="00E63D8E" w:rsidRDefault="00E63D8E" w:rsidP="00E63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56FD7" w14:textId="77777777" w:rsidR="00FB098C" w:rsidRDefault="00FB098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4" w:type="dxa"/>
      <w:tblLayout w:type="fixed"/>
      <w:tblLook w:val="04A0" w:firstRow="1" w:lastRow="0" w:firstColumn="1" w:lastColumn="0" w:noHBand="0" w:noVBand="1"/>
    </w:tblPr>
    <w:tblGrid>
      <w:gridCol w:w="4248"/>
      <w:gridCol w:w="4536"/>
    </w:tblGrid>
    <w:tr w:rsidR="00E63D8E" w14:paraId="45E71506" w14:textId="77777777" w:rsidTr="005A47E3">
      <w:tc>
        <w:tcPr>
          <w:tcW w:w="4248" w:type="dxa"/>
          <w:shd w:val="clear" w:color="auto" w:fill="auto"/>
        </w:tcPr>
        <w:p w14:paraId="510827B1" w14:textId="77777777" w:rsidR="00E63D8E" w:rsidRPr="00AF579E" w:rsidRDefault="00E63D8E" w:rsidP="00E63D8E">
          <w:pPr>
            <w:pStyle w:val="Encabezado"/>
            <w:rPr>
              <w:rFonts w:eastAsia="SimSun"/>
            </w:rPr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E63D8E" w14:paraId="65DB8652" w14:textId="77777777" w:rsidTr="005A47E3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14:paraId="40E79A6D" w14:textId="77777777" w:rsidR="00E63D8E" w:rsidRDefault="00E63D8E" w:rsidP="00E63D8E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638" w:right="-1494" w:firstLine="280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DD73DC">
                  <w:fldChar w:fldCharType="begin"/>
                </w:r>
                <w:r w:rsidR="00DD73DC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DD73DC">
                  <w:fldChar w:fldCharType="separate"/>
                </w:r>
                <w:r w:rsidR="002E77E6">
                  <w:fldChar w:fldCharType="begin"/>
                </w:r>
                <w:r w:rsidR="002E77E6">
                  <w:instrText xml:space="preserve"> </w:instrText>
                </w:r>
                <w:r w:rsidR="002E77E6">
                  <w:instrText>INCLUDEPICTURE  "https://www.cantabria.es/documents/28617/6427995/consejeria-presidencia.jpg/507b08e4-6cc9-5edc-21fe-9f56c5ef1ce0?version=1.0&amp;t=1531733117535&amp;imagePreview=1" \* MERGEFORMATINET</w:instrText>
                </w:r>
                <w:r w:rsidR="002E77E6">
                  <w:instrText xml:space="preserve"> </w:instrText>
                </w:r>
                <w:r w:rsidR="002E77E6">
                  <w:fldChar w:fldCharType="separate"/>
                </w:r>
                <w:r w:rsidR="002E77E6">
                  <w:pict w14:anchorId="31F23998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70.35pt;height:88.65pt">
                      <v:imagedata r:id="rId1" r:href="rId2" cropright="33883f"/>
                    </v:shape>
                  </w:pict>
                </w:r>
                <w:r w:rsidR="002E77E6">
                  <w:fldChar w:fldCharType="end"/>
                </w:r>
                <w:r w:rsidR="00DD73DC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14:paraId="101C1B5F" w14:textId="68A89D39" w:rsidR="00E63D8E" w:rsidRDefault="00FB098C" w:rsidP="00E63D8E">
                <w:pPr>
                  <w:pStyle w:val="Encabezado"/>
                  <w:ind w:firstLine="425"/>
                  <w:rPr>
                    <w:rFonts w:cs="Arial"/>
                    <w:b/>
                    <w:bCs/>
                    <w:sz w:val="14"/>
                    <w:szCs w:val="14"/>
                  </w:rPr>
                </w:pPr>
                <w:r>
                  <w:rPr>
                    <w:rFonts w:cs="Arial"/>
                    <w:b/>
                    <w:bCs/>
                    <w:sz w:val="14"/>
                    <w:szCs w:val="14"/>
                  </w:rPr>
                  <w:t xml:space="preserve">            </w:t>
                </w:r>
                <w:r w:rsidR="00E63D8E" w:rsidRPr="004A6D7C">
                  <w:rPr>
                    <w:rFonts w:cs="Arial"/>
                    <w:b/>
                    <w:bCs/>
                    <w:sz w:val="14"/>
                    <w:szCs w:val="14"/>
                  </w:rPr>
                  <w:t>DIRECCIÓN GENERAL</w:t>
                </w:r>
                <w:r w:rsidR="00E63D8E">
                  <w:rPr>
                    <w:rFonts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="00E63D8E" w:rsidRPr="004A6D7C">
                  <w:rPr>
                    <w:rFonts w:cs="Arial"/>
                    <w:b/>
                    <w:bCs/>
                    <w:sz w:val="14"/>
                    <w:szCs w:val="14"/>
                  </w:rPr>
                  <w:t>DE</w:t>
                </w:r>
              </w:p>
              <w:p w14:paraId="2152C1D6" w14:textId="6F5B085C" w:rsidR="00E63D8E" w:rsidRPr="00672DC2" w:rsidRDefault="00FB098C" w:rsidP="00E63D8E">
                <w:pPr>
                  <w:pStyle w:val="Encabezado"/>
                  <w:ind w:firstLine="639"/>
                  <w:rPr>
                    <w:rFonts w:cs="Arial"/>
                    <w:color w:val="000000"/>
                    <w:sz w:val="19"/>
                    <w:szCs w:val="19"/>
                  </w:rPr>
                </w:pPr>
                <w:r>
                  <w:rPr>
                    <w:rFonts w:cs="Arial"/>
                    <w:b/>
                    <w:bCs/>
                    <w:sz w:val="14"/>
                    <w:szCs w:val="14"/>
                  </w:rPr>
                  <w:t xml:space="preserve">          </w:t>
                </w:r>
                <w:r w:rsidR="00E63D8E" w:rsidRPr="004A6D7C">
                  <w:rPr>
                    <w:rFonts w:cs="Arial"/>
                    <w:b/>
                    <w:bCs/>
                    <w:sz w:val="14"/>
                    <w:szCs w:val="14"/>
                  </w:rPr>
                  <w:t>FUNCIÓN PÚBLICA</w:t>
                </w:r>
              </w:p>
              <w:p w14:paraId="7EE2FCAA" w14:textId="77777777" w:rsidR="00E63D8E" w:rsidRPr="007D7894" w:rsidRDefault="00E63D8E" w:rsidP="00E63D8E">
                <w:pPr>
                  <w:pStyle w:val="Encabezado"/>
                  <w:ind w:left="-108"/>
                  <w:rPr>
                    <w:rFonts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14:paraId="6504025D" w14:textId="77777777" w:rsidR="00E63D8E" w:rsidRPr="007D7894" w:rsidRDefault="00E63D8E" w:rsidP="00E63D8E">
                <w:pPr>
                  <w:pStyle w:val="Encabezado"/>
                  <w:rPr>
                    <w:rFonts w:cs="Arial"/>
                    <w:b/>
                    <w:sz w:val="16"/>
                    <w:szCs w:val="16"/>
                  </w:rPr>
                </w:pPr>
              </w:p>
            </w:tc>
          </w:tr>
        </w:tbl>
        <w:p w14:paraId="31BCDE24" w14:textId="77777777" w:rsidR="00E63D8E" w:rsidRPr="00AF579E" w:rsidRDefault="00E63D8E" w:rsidP="00E63D8E">
          <w:pPr>
            <w:pStyle w:val="Encabezado"/>
            <w:rPr>
              <w:rFonts w:eastAsia="SimSun"/>
            </w:rPr>
          </w:pPr>
        </w:p>
      </w:tc>
      <w:tc>
        <w:tcPr>
          <w:tcW w:w="4536" w:type="dxa"/>
          <w:shd w:val="clear" w:color="auto" w:fill="auto"/>
          <w:vAlign w:val="center"/>
        </w:tcPr>
        <w:p w14:paraId="35A2E990" w14:textId="77777777" w:rsidR="00E63D8E" w:rsidRPr="00AF579E" w:rsidRDefault="00E63D8E" w:rsidP="00E63D8E">
          <w:pPr>
            <w:pStyle w:val="Encabezado"/>
            <w:tabs>
              <w:tab w:val="clear" w:pos="4252"/>
            </w:tabs>
            <w:ind w:left="-2448"/>
            <w:jc w:val="right"/>
            <w:rPr>
              <w:rFonts w:eastAsia="SimSun"/>
            </w:rPr>
          </w:pP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>
            <w:rPr>
              <w:rFonts w:eastAsia="SimSun"/>
            </w:rPr>
            <w:fldChar w:fldCharType="begin"/>
          </w:r>
          <w:r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>
            <w:rPr>
              <w:rFonts w:eastAsia="SimSun"/>
            </w:rPr>
            <w:fldChar w:fldCharType="separate"/>
          </w:r>
          <w:r>
            <w:rPr>
              <w:rFonts w:eastAsia="SimSun"/>
            </w:rPr>
            <w:fldChar w:fldCharType="begin"/>
          </w:r>
          <w:r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>
            <w:rPr>
              <w:rFonts w:eastAsia="SimSun"/>
            </w:rPr>
            <w:fldChar w:fldCharType="separate"/>
          </w:r>
          <w:r>
            <w:rPr>
              <w:rFonts w:eastAsia="SimSun"/>
            </w:rPr>
            <w:fldChar w:fldCharType="begin"/>
          </w:r>
          <w:r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>
            <w:rPr>
              <w:rFonts w:eastAsia="SimSun"/>
            </w:rPr>
            <w:fldChar w:fldCharType="separate"/>
          </w:r>
          <w:r>
            <w:rPr>
              <w:rFonts w:eastAsia="SimSun"/>
            </w:rPr>
            <w:fldChar w:fldCharType="begin"/>
          </w:r>
          <w:r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>
            <w:rPr>
              <w:rFonts w:eastAsia="SimSun"/>
            </w:rPr>
            <w:fldChar w:fldCharType="separate"/>
          </w:r>
          <w:r>
            <w:rPr>
              <w:rFonts w:eastAsia="SimSun"/>
            </w:rPr>
            <w:fldChar w:fldCharType="begin"/>
          </w:r>
          <w:r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>
            <w:rPr>
              <w:rFonts w:eastAsia="SimSun"/>
            </w:rPr>
            <w:fldChar w:fldCharType="separate"/>
          </w:r>
          <w:r w:rsidR="00DD73DC">
            <w:rPr>
              <w:rFonts w:eastAsia="SimSun"/>
            </w:rPr>
            <w:fldChar w:fldCharType="begin"/>
          </w:r>
          <w:r w:rsidR="00DD73DC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="00DD73DC">
            <w:rPr>
              <w:rFonts w:eastAsia="SimSun"/>
            </w:rPr>
            <w:fldChar w:fldCharType="separate"/>
          </w:r>
          <w:r w:rsidR="002E77E6">
            <w:rPr>
              <w:rFonts w:eastAsia="SimSun"/>
            </w:rPr>
            <w:fldChar w:fldCharType="begin"/>
          </w:r>
          <w:r w:rsidR="002E77E6">
            <w:rPr>
              <w:rFonts w:eastAsia="SimSun"/>
            </w:rPr>
            <w:instrText xml:space="preserve"> </w:instrText>
          </w:r>
          <w:r w:rsidR="002E77E6">
            <w:rPr>
              <w:rFonts w:eastAsia="SimSun"/>
            </w:rPr>
            <w:instrText>INCLUDEPICTURE  "http</w:instrText>
          </w:r>
          <w:r w:rsidR="002E77E6">
            <w:rPr>
              <w:rFonts w:eastAsia="SimSun"/>
            </w:rPr>
            <w:instrText>s://www.cantabria.es/documents/28617/6414679/jubilar_vert_color.jpg/4fd3efde-f205-6ae1-ff34-c066943dd8b3?t=1531732852940" \* MERGEFORMATINET</w:instrText>
          </w:r>
          <w:r w:rsidR="002E77E6">
            <w:rPr>
              <w:rFonts w:eastAsia="SimSun"/>
            </w:rPr>
            <w:instrText xml:space="preserve"> </w:instrText>
          </w:r>
          <w:r w:rsidR="002E77E6">
            <w:rPr>
              <w:rFonts w:eastAsia="SimSun"/>
            </w:rPr>
            <w:fldChar w:fldCharType="separate"/>
          </w:r>
          <w:r w:rsidR="002E77E6">
            <w:rPr>
              <w:rFonts w:eastAsia="SimSun"/>
            </w:rPr>
            <w:pict w14:anchorId="349847D3">
              <v:shape id="_x0000_i1026" type="#_x0000_t75" style="width:119.3pt;height:71.45pt">
                <v:imagedata r:id="rId3" r:href="rId4"/>
              </v:shape>
            </w:pict>
          </w:r>
          <w:r w:rsidR="002E77E6">
            <w:rPr>
              <w:rFonts w:eastAsia="SimSun"/>
            </w:rPr>
            <w:fldChar w:fldCharType="end"/>
          </w:r>
          <w:r w:rsidR="00DD73DC">
            <w:rPr>
              <w:rFonts w:eastAsia="SimSun"/>
            </w:rPr>
            <w:fldChar w:fldCharType="end"/>
          </w:r>
          <w:r>
            <w:rPr>
              <w:rFonts w:eastAsia="SimSun"/>
            </w:rPr>
            <w:fldChar w:fldCharType="end"/>
          </w:r>
          <w:r>
            <w:rPr>
              <w:rFonts w:eastAsia="SimSun"/>
            </w:rPr>
            <w:fldChar w:fldCharType="end"/>
          </w:r>
          <w:r>
            <w:rPr>
              <w:rFonts w:eastAsia="SimSun"/>
            </w:rPr>
            <w:fldChar w:fldCharType="end"/>
          </w:r>
          <w:r>
            <w:rPr>
              <w:rFonts w:eastAsia="SimSun"/>
            </w:rPr>
            <w:fldChar w:fldCharType="end"/>
          </w:r>
          <w:r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</w:p>
      </w:tc>
    </w:tr>
  </w:tbl>
  <w:p w14:paraId="4067BB1B" w14:textId="77777777" w:rsidR="00E63D8E" w:rsidRDefault="00E63D8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DCB82E" w14:textId="77777777" w:rsidR="00FB098C" w:rsidRDefault="00FB098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60DC2"/>
    <w:multiLevelType w:val="hybridMultilevel"/>
    <w:tmpl w:val="FC420008"/>
    <w:lvl w:ilvl="0" w:tplc="1348F72C">
      <w:start w:val="1"/>
      <w:numFmt w:val="decimal"/>
      <w:lvlText w:val="TEMA %1.-"/>
      <w:lvlJc w:val="left"/>
      <w:pPr>
        <w:tabs>
          <w:tab w:val="num" w:pos="1247"/>
        </w:tabs>
        <w:ind w:left="1247" w:hanging="1247"/>
      </w:pPr>
      <w:rPr>
        <w:rFonts w:ascii="Arial" w:hAnsi="Arial" w:hint="default"/>
        <w:b/>
        <w:i w:val="0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C61DCC"/>
    <w:multiLevelType w:val="hybridMultilevel"/>
    <w:tmpl w:val="393E91F0"/>
    <w:lvl w:ilvl="0" w:tplc="47ECC0D0">
      <w:start w:val="1"/>
      <w:numFmt w:val="decimal"/>
      <w:lvlText w:val="TEMA %1."/>
      <w:lvlJc w:val="left"/>
      <w:pPr>
        <w:ind w:left="1080" w:hanging="360"/>
      </w:p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C95"/>
    <w:rsid w:val="0000532D"/>
    <w:rsid w:val="0001273E"/>
    <w:rsid w:val="000835AE"/>
    <w:rsid w:val="00085047"/>
    <w:rsid w:val="000B61CA"/>
    <w:rsid w:val="001508D3"/>
    <w:rsid w:val="00156F2E"/>
    <w:rsid w:val="0018415C"/>
    <w:rsid w:val="00216CE4"/>
    <w:rsid w:val="002B00D9"/>
    <w:rsid w:val="002E77E6"/>
    <w:rsid w:val="002F2150"/>
    <w:rsid w:val="003049A2"/>
    <w:rsid w:val="00331CAF"/>
    <w:rsid w:val="00353035"/>
    <w:rsid w:val="00381330"/>
    <w:rsid w:val="0038796E"/>
    <w:rsid w:val="003B4429"/>
    <w:rsid w:val="00474DA8"/>
    <w:rsid w:val="00480B8B"/>
    <w:rsid w:val="00492D86"/>
    <w:rsid w:val="004F618D"/>
    <w:rsid w:val="00525550"/>
    <w:rsid w:val="00584D90"/>
    <w:rsid w:val="00595EEE"/>
    <w:rsid w:val="006F3E57"/>
    <w:rsid w:val="007842F3"/>
    <w:rsid w:val="007D0E2C"/>
    <w:rsid w:val="007F7C95"/>
    <w:rsid w:val="00803E6A"/>
    <w:rsid w:val="0085275E"/>
    <w:rsid w:val="008A4326"/>
    <w:rsid w:val="008C457C"/>
    <w:rsid w:val="008D422E"/>
    <w:rsid w:val="0094058F"/>
    <w:rsid w:val="00974B48"/>
    <w:rsid w:val="009A518C"/>
    <w:rsid w:val="009B0804"/>
    <w:rsid w:val="009C7EC7"/>
    <w:rsid w:val="009E3EBD"/>
    <w:rsid w:val="00AC57E1"/>
    <w:rsid w:val="00BB00EC"/>
    <w:rsid w:val="00C04CA7"/>
    <w:rsid w:val="00CB3178"/>
    <w:rsid w:val="00D45912"/>
    <w:rsid w:val="00DD73DC"/>
    <w:rsid w:val="00DD7D8B"/>
    <w:rsid w:val="00E169AF"/>
    <w:rsid w:val="00E63D8E"/>
    <w:rsid w:val="00EA7B33"/>
    <w:rsid w:val="00ED1245"/>
    <w:rsid w:val="00EF67C0"/>
    <w:rsid w:val="00F33088"/>
    <w:rsid w:val="00F62468"/>
    <w:rsid w:val="00F93E71"/>
    <w:rsid w:val="00FB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  <w14:docId w14:val="22022BB9"/>
  <w15:chartTrackingRefBased/>
  <w15:docId w15:val="{D77D20C4-89B6-4CCD-BF10-BA63D442B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B44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442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A7B33"/>
    <w:pPr>
      <w:spacing w:after="4" w:line="242" w:lineRule="auto"/>
      <w:ind w:left="720" w:hanging="823"/>
      <w:contextualSpacing/>
      <w:jc w:val="both"/>
    </w:pPr>
    <w:rPr>
      <w:rFonts w:ascii="Arial" w:hAnsi="Arial" w:cs="Arial"/>
      <w:color w:val="231F20"/>
      <w:sz w:val="14"/>
      <w:szCs w:val="14"/>
      <w:lang w:eastAsia="es-ES"/>
    </w:rPr>
  </w:style>
  <w:style w:type="paragraph" w:styleId="Encabezado">
    <w:name w:val="header"/>
    <w:basedOn w:val="Normal"/>
    <w:link w:val="EncabezadoCar"/>
    <w:unhideWhenUsed/>
    <w:rsid w:val="00E63D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63D8E"/>
  </w:style>
  <w:style w:type="paragraph" w:styleId="Piedepgina">
    <w:name w:val="footer"/>
    <w:basedOn w:val="Normal"/>
    <w:link w:val="PiedepginaCar"/>
    <w:uiPriority w:val="99"/>
    <w:unhideWhenUsed/>
    <w:rsid w:val="00E63D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1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6F3FC8-6DE5-40B3-80E9-6DCF33198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2541</Words>
  <Characters>13981</Characters>
  <Application>Microsoft Office Word</Application>
  <DocSecurity>0</DocSecurity>
  <Lines>116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Moncalean Elisabet</dc:creator>
  <cp:keywords/>
  <dc:description/>
  <cp:lastModifiedBy>Pérez Aguilar Óscar Fernando</cp:lastModifiedBy>
  <cp:revision>2</cp:revision>
  <cp:lastPrinted>2019-02-26T15:31:00Z</cp:lastPrinted>
  <dcterms:created xsi:type="dcterms:W3CDTF">2019-04-12T08:10:00Z</dcterms:created>
  <dcterms:modified xsi:type="dcterms:W3CDTF">2019-04-12T08:10:00Z</dcterms:modified>
</cp:coreProperties>
</file>