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C68" w:rsidRPr="00A55C68" w:rsidRDefault="00A55C68" w:rsidP="000E663C">
      <w:pPr>
        <w:autoSpaceDE w:val="0"/>
        <w:autoSpaceDN w:val="0"/>
        <w:adjustRightInd w:val="0"/>
        <w:spacing w:before="120" w:after="0" w:line="240" w:lineRule="auto"/>
        <w:ind w:left="993" w:hanging="993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 w:rsidRPr="00A55C68">
        <w:rPr>
          <w:rFonts w:ascii="Arial" w:hAnsi="Arial" w:cs="Arial"/>
          <w:b/>
          <w:bCs/>
          <w:color w:val="000000"/>
          <w:sz w:val="20"/>
          <w:szCs w:val="20"/>
        </w:rPr>
        <w:t>ANEXO I</w:t>
      </w:r>
    </w:p>
    <w:p w:rsidR="00A55C68" w:rsidRPr="00A55C68" w:rsidRDefault="00A55C68" w:rsidP="000E663C">
      <w:pPr>
        <w:autoSpaceDE w:val="0"/>
        <w:autoSpaceDN w:val="0"/>
        <w:adjustRightInd w:val="0"/>
        <w:spacing w:before="120" w:after="0" w:line="240" w:lineRule="auto"/>
        <w:ind w:left="993" w:hanging="993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A55C68" w:rsidRPr="00A55C68" w:rsidRDefault="00A55C68" w:rsidP="000E663C">
      <w:pPr>
        <w:autoSpaceDE w:val="0"/>
        <w:autoSpaceDN w:val="0"/>
        <w:adjustRightInd w:val="0"/>
        <w:spacing w:before="120" w:after="0" w:line="240" w:lineRule="auto"/>
        <w:ind w:left="993" w:hanging="993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 w:rsidRPr="00A55C68">
        <w:rPr>
          <w:rFonts w:ascii="Arial" w:hAnsi="Arial" w:cs="Arial"/>
          <w:b/>
          <w:bCs/>
          <w:color w:val="000000"/>
          <w:sz w:val="20"/>
          <w:szCs w:val="20"/>
        </w:rPr>
        <w:t>CUERPO FACULTATIVO SUPERIOR</w:t>
      </w:r>
    </w:p>
    <w:p w:rsidR="00A55C68" w:rsidRPr="00A55C68" w:rsidRDefault="00A55C68" w:rsidP="000E663C">
      <w:pPr>
        <w:autoSpaceDE w:val="0"/>
        <w:autoSpaceDN w:val="0"/>
        <w:adjustRightInd w:val="0"/>
        <w:spacing w:before="120" w:after="0" w:line="240" w:lineRule="auto"/>
        <w:ind w:left="993" w:hanging="993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 w:rsidRPr="00A55C68">
        <w:rPr>
          <w:rFonts w:ascii="Arial" w:hAnsi="Arial" w:cs="Arial"/>
          <w:b/>
          <w:bCs/>
          <w:color w:val="000000"/>
          <w:sz w:val="20"/>
          <w:szCs w:val="20"/>
        </w:rPr>
        <w:t>INGENIERO AGRÓNOMO</w:t>
      </w:r>
    </w:p>
    <w:p w:rsidR="00A55C68" w:rsidRPr="00A55C68" w:rsidRDefault="00A55C68" w:rsidP="000E663C">
      <w:pPr>
        <w:autoSpaceDE w:val="0"/>
        <w:autoSpaceDN w:val="0"/>
        <w:adjustRightInd w:val="0"/>
        <w:spacing w:before="120" w:after="0" w:line="240" w:lineRule="auto"/>
        <w:ind w:left="993" w:hanging="993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A55C68" w:rsidRPr="00A55C68" w:rsidRDefault="00A55C68" w:rsidP="000E663C">
      <w:pPr>
        <w:autoSpaceDE w:val="0"/>
        <w:autoSpaceDN w:val="0"/>
        <w:adjustRightInd w:val="0"/>
        <w:spacing w:before="120" w:after="0" w:line="240" w:lineRule="auto"/>
        <w:ind w:left="993" w:hanging="993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 w:rsidRPr="00A55C68">
        <w:rPr>
          <w:rFonts w:ascii="Arial" w:hAnsi="Arial" w:cs="Arial"/>
          <w:b/>
          <w:bCs/>
          <w:color w:val="000000"/>
          <w:sz w:val="20"/>
          <w:szCs w:val="20"/>
        </w:rPr>
        <w:t>MATERIAS ESPECÍFICAS</w:t>
      </w:r>
    </w:p>
    <w:p w:rsidR="00A55C68" w:rsidRPr="00A55C68" w:rsidRDefault="00A55C68" w:rsidP="000E663C">
      <w:pPr>
        <w:autoSpaceDE w:val="0"/>
        <w:autoSpaceDN w:val="0"/>
        <w:adjustRightInd w:val="0"/>
        <w:spacing w:before="120" w:after="0" w:line="240" w:lineRule="auto"/>
        <w:ind w:left="993" w:hanging="993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A55C68" w:rsidRPr="00A55C68" w:rsidRDefault="00A55C68" w:rsidP="000E663C">
      <w:pPr>
        <w:autoSpaceDE w:val="0"/>
        <w:autoSpaceDN w:val="0"/>
        <w:adjustRightInd w:val="0"/>
        <w:spacing w:before="120" w:after="0" w:line="240" w:lineRule="auto"/>
        <w:ind w:left="993" w:hanging="993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A55C68">
        <w:rPr>
          <w:rFonts w:ascii="Arial" w:hAnsi="Arial" w:cs="Arial"/>
          <w:b/>
          <w:bCs/>
          <w:color w:val="000000"/>
          <w:sz w:val="20"/>
          <w:szCs w:val="20"/>
        </w:rPr>
        <w:t>BLOQUE I</w:t>
      </w:r>
    </w:p>
    <w:p w:rsidR="00A55C68" w:rsidRPr="00A55C68" w:rsidRDefault="00A55C68" w:rsidP="000E663C">
      <w:pPr>
        <w:autoSpaceDE w:val="0"/>
        <w:autoSpaceDN w:val="0"/>
        <w:adjustRightInd w:val="0"/>
        <w:spacing w:before="120" w:after="0" w:line="240" w:lineRule="auto"/>
        <w:ind w:left="993" w:hanging="993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Meteorología de Cantabria. Régimen de precipitaciones. Distribución y estacionalidad. La relación agua-suelo-planta. Aspectos fisiológicos. Balance hídrico. Régimen Pluvial de los ríos y su aforo. Aguas freáticas. Control de la calidad del agua.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Edafología y suelos de Cantabria. Distribución de la superficie según usos agrarios. Caracterización agronómica de dichos suelos</w:t>
      </w:r>
      <w:r w:rsidR="00EE3265" w:rsidRPr="00E77E63">
        <w:rPr>
          <w:rFonts w:ascii="Arial" w:hAnsi="Arial" w:cs="Arial"/>
          <w:sz w:val="20"/>
          <w:szCs w:val="20"/>
        </w:rPr>
        <w:t xml:space="preserve">, </w:t>
      </w:r>
      <w:r w:rsidR="00EE3265" w:rsidRPr="00E77E63">
        <w:rPr>
          <w:rFonts w:ascii="Arial" w:hAnsi="Arial" w:cs="Arial"/>
          <w:strike/>
          <w:sz w:val="20"/>
          <w:szCs w:val="20"/>
        </w:rPr>
        <w:t>sus características</w:t>
      </w:r>
      <w:r w:rsidR="00EE3265" w:rsidRPr="00E77E63">
        <w:rPr>
          <w:rFonts w:ascii="Arial" w:hAnsi="Arial" w:cs="Arial"/>
          <w:sz w:val="20"/>
          <w:szCs w:val="20"/>
        </w:rPr>
        <w:t>.</w:t>
      </w:r>
      <w:r w:rsidRPr="00E77E63">
        <w:rPr>
          <w:rFonts w:ascii="Arial" w:hAnsi="Arial" w:cs="Arial"/>
          <w:sz w:val="20"/>
          <w:szCs w:val="20"/>
        </w:rPr>
        <w:t xml:space="preserve"> Enmiendas: orgánicas y calizas. La erosión en Cantabria. La cartografía como base de la ordenación de los recursos agrarios.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Sectores económicos. Importancia del sector primario en España. Especial referencia a Cantabria. Características de la población en Cantabria. Población activa agraria. El medio rural: su estructura y problemática. El empleo rural.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Producciones agrarias de Cantabria. Producción agrícola. Producción ganadera. Producción forestal. Mapa de usos agrarios. Macro magnitudes agrarias. La renta agraria.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La ganadería de vacuno de carne en Cantabria. Características, tipos y razas. Principales producciones. Técnicas de producción. Problemática y perspectivas de futuro.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La ganadería de vacuno de leche en Cantabria. Ganadería intensiva versus ganadería ligada a la tierra. Características, tipos. Principales producciones. Técnicas de producción. Problemática y perspectivas de futuro.</w:t>
      </w:r>
    </w:p>
    <w:p w:rsidR="008A5B00" w:rsidRPr="00E77E63" w:rsidRDefault="008A5B00" w:rsidP="002E1058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bCs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 xml:space="preserve">La explotación ganadera de ovino y caprino. Tipos de explotación y razas. </w:t>
      </w:r>
      <w:r w:rsidR="00A55C68" w:rsidRPr="00E77E63">
        <w:rPr>
          <w:rFonts w:ascii="Arial" w:hAnsi="Arial" w:cs="Arial"/>
          <w:bCs/>
          <w:sz w:val="20"/>
          <w:szCs w:val="20"/>
        </w:rPr>
        <w:t>La ganadería de ovino y caprino en Cantabria. Características, tipos y razas. Principales</w:t>
      </w:r>
      <w:r w:rsidR="00A55C68" w:rsidRPr="00E77E63">
        <w:rPr>
          <w:rFonts w:ascii="Arial" w:hAnsi="Arial" w:cs="Arial"/>
          <w:b/>
          <w:bCs/>
          <w:sz w:val="20"/>
          <w:szCs w:val="20"/>
        </w:rPr>
        <w:t xml:space="preserve"> </w:t>
      </w:r>
      <w:r w:rsidR="00A55C68" w:rsidRPr="00E77E63">
        <w:rPr>
          <w:rFonts w:ascii="Arial" w:hAnsi="Arial" w:cs="Arial"/>
          <w:bCs/>
          <w:sz w:val="20"/>
          <w:szCs w:val="20"/>
        </w:rPr>
        <w:t xml:space="preserve">producciones. </w:t>
      </w:r>
      <w:r w:rsidR="00A55C68" w:rsidRPr="00E77E63">
        <w:rPr>
          <w:rFonts w:ascii="Arial" w:hAnsi="Arial" w:cs="Arial"/>
          <w:sz w:val="20"/>
          <w:szCs w:val="20"/>
        </w:rPr>
        <w:t>Técnicas de producción. Problemática y perspectivas de futuro</w:t>
      </w:r>
      <w:r w:rsidRPr="00E77E63">
        <w:rPr>
          <w:rFonts w:ascii="Arial" w:hAnsi="Arial" w:cs="Arial"/>
          <w:sz w:val="20"/>
          <w:szCs w:val="20"/>
        </w:rPr>
        <w:t>.</w:t>
      </w:r>
    </w:p>
    <w:p w:rsidR="00A55C68" w:rsidRPr="00E77E63" w:rsidRDefault="008A5B00" w:rsidP="00D3664B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bCs/>
          <w:sz w:val="20"/>
          <w:szCs w:val="20"/>
        </w:rPr>
      </w:pPr>
      <w:r w:rsidRPr="00E77E63">
        <w:rPr>
          <w:rFonts w:ascii="Arial" w:hAnsi="Arial" w:cs="Arial"/>
          <w:bCs/>
          <w:sz w:val="20"/>
          <w:szCs w:val="20"/>
        </w:rPr>
        <w:t xml:space="preserve">Las explotaciones de ganadería alternativas a los rumiantes: Porcino, Pequeños animales, Animales de peletería. Tipos de explotación y razas. </w:t>
      </w:r>
      <w:r w:rsidR="00A55C68" w:rsidRPr="00E77E63">
        <w:rPr>
          <w:rFonts w:ascii="Arial" w:hAnsi="Arial" w:cs="Arial"/>
          <w:bCs/>
          <w:sz w:val="20"/>
          <w:szCs w:val="20"/>
        </w:rPr>
        <w:t>Los pastos comunales. Referencia histórica. Régimen jurídico. Situación en Cantabria. Superficie y distribución. Regulación de su aprovechamiento. Normativa.</w:t>
      </w:r>
      <w:r w:rsidR="00EE3265" w:rsidRPr="00E77E63">
        <w:rPr>
          <w:rFonts w:ascii="Arial" w:hAnsi="Arial" w:cs="Arial"/>
          <w:bCs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Las explotaciones de ganadería alternativas a los rumiantes: Porcino, Cunicultura, Avicultura y Apicultura. Tipos de explotación y razas.</w:t>
      </w:r>
      <w:r w:rsidR="00EE3265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Sistemas de alimentación de la vaca lechera. Curva de lactación. Necesidades. Racionamiento.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Alimentación del ganado vacuno de carne. Curva de crecimiento. Necesidades y racionamiento.</w:t>
      </w:r>
      <w:r w:rsidR="00EE3265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Técnicas de producción de prados y praderas. Especies y mezclas</w:t>
      </w:r>
      <w:r w:rsidR="00E77E63" w:rsidRPr="00E77E63">
        <w:rPr>
          <w:rFonts w:ascii="Arial" w:hAnsi="Arial" w:cs="Arial"/>
          <w:sz w:val="20"/>
          <w:szCs w:val="20"/>
        </w:rPr>
        <w:t>.</w:t>
      </w:r>
      <w:r w:rsidR="00EE3265" w:rsidRPr="00E77E63">
        <w:rPr>
          <w:rFonts w:ascii="Arial" w:hAnsi="Arial" w:cs="Arial"/>
          <w:sz w:val="20"/>
          <w:szCs w:val="20"/>
        </w:rPr>
        <w:t xml:space="preserve"> </w:t>
      </w:r>
      <w:r w:rsidRPr="00E77E63">
        <w:rPr>
          <w:rFonts w:ascii="Arial" w:hAnsi="Arial" w:cs="Arial"/>
          <w:sz w:val="20"/>
          <w:szCs w:val="20"/>
        </w:rPr>
        <w:t xml:space="preserve"> Manejo. Mecanización. Exigencias medioambientales. Producciones y rendimientos.</w:t>
      </w:r>
      <w:r w:rsidR="008A5B00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lastRenderedPageBreak/>
        <w:t xml:space="preserve">Cultivos forrajeros </w:t>
      </w:r>
      <w:proofErr w:type="spellStart"/>
      <w:r w:rsidRPr="00E77E63">
        <w:rPr>
          <w:rFonts w:ascii="Arial" w:hAnsi="Arial" w:cs="Arial"/>
          <w:sz w:val="20"/>
          <w:szCs w:val="20"/>
        </w:rPr>
        <w:t>monofitos</w:t>
      </w:r>
      <w:proofErr w:type="spellEnd"/>
      <w:r w:rsidRPr="00E77E63">
        <w:rPr>
          <w:rFonts w:ascii="Arial" w:hAnsi="Arial" w:cs="Arial"/>
          <w:sz w:val="20"/>
          <w:szCs w:val="20"/>
        </w:rPr>
        <w:t xml:space="preserve"> (o de mezcla sencilla). Sistemas de implantación y mejora. Exigencias medioambientales. Importancia en Cantabria.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Sistemas de conservación de forrajes. Henificación, ensilado y deshidratación: sistemas, parámetros de calidad, maquinaria utilizada.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Técnicas de producción de cereales y leguminosas: especies y variedades, labores culturales y producción. Importancia y potencial en Cantabria.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Técnicas de elaboración de leche y productos lácteos. Materias primas. Operaciones básicas. Tipos de productos, características y procesos propios de obtención.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Técnicas de elaboración de carnes y derivados. Materias primas. Operaciones básicas. Tipos de productos, características y procesos propios de obtención.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Técnicas de producción de conservas, semiconservas y salazones de pescado. Materias primas. Operaciones básicas. Tipos de productos, características y procesos propios de obtención.</w:t>
      </w:r>
      <w:r w:rsidR="00FB73BC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Productos para la alimentación animal. Tipos y características. Tecnología. Incidencia en la producción agraria. El sector productor en España y en Cantabria. Su problemática.</w:t>
      </w:r>
      <w:r w:rsidR="00FB73BC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Mejora de la producción de vacuno de leche. Factores que intervienen. Objetivos de selección. Selección, progreso y mejora genética. Programa para Cantabria.</w:t>
      </w:r>
      <w:r w:rsidR="00FB73BC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Mejora de vacuno de carne. Factores que intervienen. Objetivos de selección. Prueba de progenie y sistemas alternativos. Cruzamiento: bases, motivos y sistemas.</w:t>
      </w:r>
      <w:r w:rsidR="00FB73BC" w:rsidRPr="00E77E63">
        <w:rPr>
          <w:rFonts w:ascii="Arial" w:hAnsi="Arial" w:cs="Arial"/>
          <w:sz w:val="20"/>
          <w:szCs w:val="20"/>
        </w:rPr>
        <w:t xml:space="preserve"> </w:t>
      </w:r>
    </w:p>
    <w:p w:rsidR="00E77E63" w:rsidRPr="00E77E63" w:rsidRDefault="00A55C68" w:rsidP="001774DB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Mejora genética animal. Métodos de selección y respuestas. Selección familiar. Selección por parientes. Prueba de descendencia. Información de ascendientes.</w:t>
      </w:r>
      <w:r w:rsidR="00FB73BC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1774DB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Técnicas de producción de patata para consumo y siembra: variedades, labores culturales y producción. Especial referencia a Cantabria.</w:t>
      </w:r>
      <w:r w:rsidR="00FB73BC" w:rsidRPr="00E77E63">
        <w:rPr>
          <w:rFonts w:ascii="Arial" w:hAnsi="Arial" w:cs="Arial"/>
          <w:sz w:val="20"/>
          <w:szCs w:val="20"/>
        </w:rPr>
        <w:t xml:space="preserve"> </w:t>
      </w:r>
    </w:p>
    <w:p w:rsidR="00E77E63" w:rsidRPr="00E77E63" w:rsidRDefault="00A55C68" w:rsidP="004446F0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Técnicas de producción de la vid: variedades, labores culturales y producción. Derechos de producción. Perspectivas de futuro. Especial referencia a Cantabria.</w:t>
      </w:r>
      <w:r w:rsidR="00FB73BC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4446F0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Técnicas de producción de cultivos hortícolas: principales cultivos en Cantabria, variedades, labores culturales y producción. Cultivos forzados. Instalaciones. Técnicas de cultivo. Importancia en Cantabria.</w:t>
      </w:r>
      <w:r w:rsidR="00FB73BC" w:rsidRPr="00E77E63">
        <w:rPr>
          <w:rFonts w:ascii="Arial" w:hAnsi="Arial" w:cs="Arial"/>
          <w:sz w:val="20"/>
          <w:szCs w:val="20"/>
        </w:rPr>
        <w:t xml:space="preserve"> </w:t>
      </w:r>
    </w:p>
    <w:p w:rsidR="00E77E63" w:rsidRPr="00E77E63" w:rsidRDefault="00A55C68" w:rsidP="009648B9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Técnicas de producción de cultivos frutícolas: principales cultivos en Cantabria, variedades, labores culturales y producción. Comercialización.</w:t>
      </w:r>
      <w:r w:rsidR="00FB73BC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9648B9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Alternativas de laboreo. Laboreo de conservación: Técnicas de laboreo, mínimo laboreo y siembra directa.</w:t>
      </w:r>
      <w:r w:rsidR="00FB73BC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Medios de Defensa Fitosanitaria. Caracterización e importancia en la agricultura española. Normativa de comercialización de los productos fitosanitarios en la Unión Europea: Reglamento 1107/2009, de 21 de octubre. Situación actual y problemática del mercado de medios de defensa fitosanitaria. Métodos de lucha biológica. Problemática de la contaminación por plaguicidas: los límites máximos de residuos.</w:t>
      </w:r>
      <w:r w:rsidR="00FB73BC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Fertilizantes. Tipos y técnicas de fertilización. Consumo en la agricultura española. Normativa que regula la comercialización de los fertilizantes en España. Limitaciones económicas y medioambientales para su empleo: uso racional de los fertilizantes.</w:t>
      </w:r>
      <w:r w:rsidR="00FB73BC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Producción ecológica. Agricultura, ganadería y apicultura ecológicas. Principios. Normativa. Situación de la producción ecológica y la comercialización de sus productos en Cantabria. Comparativa con la situación en España, Europa y el mundo.</w:t>
      </w:r>
      <w:r w:rsidR="00FB73BC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jc w:val="both"/>
        <w:rPr>
          <w:rFonts w:ascii="Arial" w:hAnsi="Arial" w:cs="Arial"/>
          <w:b/>
          <w:bCs/>
          <w:sz w:val="20"/>
          <w:szCs w:val="20"/>
        </w:rPr>
      </w:pPr>
      <w:r w:rsidRPr="00E77E63">
        <w:rPr>
          <w:rFonts w:ascii="Arial" w:hAnsi="Arial" w:cs="Arial"/>
          <w:b/>
          <w:bCs/>
          <w:sz w:val="20"/>
          <w:szCs w:val="20"/>
        </w:rPr>
        <w:t>BLOQUE II</w:t>
      </w:r>
    </w:p>
    <w:p w:rsidR="00A55C68" w:rsidRPr="00E77E63" w:rsidRDefault="00A55C68" w:rsidP="000E663C">
      <w:p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jc w:val="both"/>
        <w:rPr>
          <w:rFonts w:ascii="Arial" w:hAnsi="Arial" w:cs="Arial"/>
          <w:b/>
          <w:bCs/>
          <w:sz w:val="20"/>
          <w:szCs w:val="20"/>
        </w:rPr>
      </w:pP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Configuración de la Política Agraria Común (PAC). Principios, objetivos e instrumentos: Organizaciones Comunes de Mercado, fondos financieros, otros instrumentos. Los primeros años de la PAC y las políticas agrarias nacionales.</w:t>
      </w:r>
      <w:r w:rsidR="00FB73BC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La política de precios y mercados en la Unión Europea. La Organización Común de Mercados de los productos agrarios (OCMA). Tipos y mecanismos. Principales productos regulados. Régimen de precios. Régimen de intervenciones. Régimen de comercio exterior. Régimen de ayudas. Régimen de control.</w:t>
      </w:r>
      <w:r w:rsidR="00FB73BC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El Fondo Europeo Agrícola de Garantía (FEAGA) y el Fondo Europeo Agrícola de Desarrollo Rural (FEADER). Otros instrumentos financieros. La distribución nacional y sectorial del gasto de la PAC.</w:t>
      </w:r>
      <w:r w:rsidR="00E03ED8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Las principales reformas de la PAC. Justificación y nuevas orientaciones. Reforma de 1992: La reforma de la PAC y la Ronda Uruguay del GATT y las medidas</w:t>
      </w:r>
      <w:r w:rsidR="00D83B47" w:rsidRPr="00E77E63">
        <w:rPr>
          <w:rFonts w:ascii="Arial" w:hAnsi="Arial" w:cs="Arial"/>
          <w:sz w:val="20"/>
          <w:szCs w:val="20"/>
        </w:rPr>
        <w:t xml:space="preserve"> de acompañamiento; la Agenda 2</w:t>
      </w:r>
      <w:r w:rsidRPr="00E77E63">
        <w:rPr>
          <w:rFonts w:ascii="Arial" w:hAnsi="Arial" w:cs="Arial"/>
          <w:sz w:val="20"/>
          <w:szCs w:val="20"/>
        </w:rPr>
        <w:t xml:space="preserve">000: Las medidas de carácter horizontal, la orientación del desarrollo rural y el marco financiero; Reforma de la PAC de 2003: Los pilares de la PAC, la condicionalidad, modulación y desacoplamiento de las ayudas; </w:t>
      </w:r>
      <w:r w:rsidR="00D83B47" w:rsidRPr="00E77E63">
        <w:rPr>
          <w:rFonts w:ascii="Arial" w:hAnsi="Arial" w:cs="Arial"/>
          <w:sz w:val="20"/>
          <w:szCs w:val="20"/>
        </w:rPr>
        <w:t>Reforma de</w:t>
      </w:r>
      <w:r w:rsidRPr="00E77E63">
        <w:rPr>
          <w:rFonts w:ascii="Arial" w:hAnsi="Arial" w:cs="Arial"/>
          <w:sz w:val="20"/>
          <w:szCs w:val="20"/>
        </w:rPr>
        <w:t xml:space="preserve"> 2009: el «chequeo» de la PAC.</w:t>
      </w:r>
      <w:r w:rsidR="00FA61D4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La gestión y control de los fondos de la PAC. La regulación básica sobre la financiación de la PAC. La gestión de los fondos de la PAC y las relaciones Comisión-Estados Miembros-Organismos Pagadores. El control comunitario de los gastos de la PAC y la liquidación de cuentas. El control en el ámbito nacional de los gastos de la PAC. El Órgano de Conciliación.</w:t>
      </w:r>
      <w:r w:rsidR="00E03ED8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numPr>
          <w:ilvl w:val="0"/>
          <w:numId w:val="1"/>
        </w:numPr>
        <w:tabs>
          <w:tab w:val="left" w:pos="1080"/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El Sistema Integrado de Gestión y Control. Sistemática de los controles administrativos y de campo en los sectores agrícola y ganadero. Los elementos de control. Incremento de los controles.</w:t>
      </w:r>
      <w:r w:rsidR="00FA61D4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El Fondo Español de Garantía Agraria (FEGA). Normativa reguladora. Estructura. Competencias. El Organismo Pagador de los gastos de la PAC en Cantabria. Normativa reguladora. Estructura y funcionamiento. Relaciones con el FEGA.</w:t>
      </w:r>
      <w:r w:rsidR="00E03ED8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Reforma de la PAC 2014-2020. El primer pilar de la PAC. El nuevo sistema de pagos directos: El régimen de pago básico; Beneficiarios; Establecimiento de los derechos y regionalización y convergencia; La reserva nacional de pago básico; Aplicación de régimen de pago básico en España y en Cantabria –sectores integrados, complemento a jóvenes y régimen simplificado de pequeños agricultores-.</w:t>
      </w:r>
      <w:r w:rsidR="00E03ED8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534B50" w:rsidP="001F6D91">
      <w:pPr>
        <w:pStyle w:val="Prrafodelista"/>
        <w:numPr>
          <w:ilvl w:val="0"/>
          <w:numId w:val="1"/>
        </w:numPr>
        <w:tabs>
          <w:tab w:val="left" w:pos="1080"/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 xml:space="preserve">La política de desarrollo rural </w:t>
      </w:r>
      <w:r w:rsidR="00FA61D4" w:rsidRPr="00E77E63">
        <w:rPr>
          <w:rFonts w:ascii="Arial" w:hAnsi="Arial" w:cs="Arial"/>
          <w:sz w:val="20"/>
          <w:szCs w:val="20"/>
        </w:rPr>
        <w:t>en el período 2014-2020 (I).</w:t>
      </w:r>
      <w:r w:rsidRPr="00E77E63">
        <w:rPr>
          <w:rFonts w:ascii="Arial" w:hAnsi="Arial" w:cs="Arial"/>
          <w:sz w:val="20"/>
          <w:szCs w:val="20"/>
        </w:rPr>
        <w:t xml:space="preserve"> El FEADER como fondo europeo estructural y de inversión (ESI). </w:t>
      </w:r>
      <w:r w:rsidR="00A55C68" w:rsidRPr="00E77E63">
        <w:rPr>
          <w:rFonts w:ascii="Arial" w:hAnsi="Arial" w:cs="Arial"/>
          <w:sz w:val="20"/>
          <w:szCs w:val="20"/>
        </w:rPr>
        <w:t>El reglamento 1305/2013 del Parlamento Europeo y del Consejo, de 17 de diciembre de 2013. Coordinación con otros fondos comunitarios. La financiación del desarrollo rural. Las prioridades comunitarias de desarrollo rural y los Programas de Desarrollo Rural. Aplicación en España y en Cantabria.</w:t>
      </w:r>
      <w:r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numPr>
          <w:ilvl w:val="0"/>
          <w:numId w:val="1"/>
        </w:numPr>
        <w:tabs>
          <w:tab w:val="left" w:pos="1080"/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La política de desarroll</w:t>
      </w:r>
      <w:r w:rsidR="00534B50" w:rsidRPr="00E77E63">
        <w:rPr>
          <w:rFonts w:ascii="Arial" w:hAnsi="Arial" w:cs="Arial"/>
          <w:sz w:val="20"/>
          <w:szCs w:val="20"/>
        </w:rPr>
        <w:t>o rural en el período 2014-2020</w:t>
      </w:r>
      <w:r w:rsidR="00266A40" w:rsidRPr="00E77E63">
        <w:rPr>
          <w:rFonts w:ascii="Arial" w:hAnsi="Arial" w:cs="Arial"/>
          <w:sz w:val="20"/>
          <w:szCs w:val="20"/>
        </w:rPr>
        <w:t xml:space="preserve"> (II)</w:t>
      </w:r>
      <w:r w:rsidR="00534B50" w:rsidRPr="00E77E63">
        <w:rPr>
          <w:rFonts w:ascii="Arial" w:hAnsi="Arial" w:cs="Arial"/>
          <w:sz w:val="20"/>
          <w:szCs w:val="20"/>
        </w:rPr>
        <w:t xml:space="preserve">. </w:t>
      </w:r>
      <w:r w:rsidRPr="00E77E63">
        <w:rPr>
          <w:rFonts w:ascii="Arial" w:hAnsi="Arial" w:cs="Arial"/>
          <w:sz w:val="20"/>
          <w:szCs w:val="20"/>
        </w:rPr>
        <w:t xml:space="preserve">Programa de Desarrollo Rural de Cantabria 2014-2020: Ayudas a la modernización de explotaciones: planes de mejora y primera instalación de jóvenes; Inversiones colectivas. Las explotaciones Prioritarias.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b/>
          <w:bCs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La política de desarrollo rural en el período 2014-2020 (III).</w:t>
      </w:r>
      <w:r w:rsidRPr="00E77E63">
        <w:rPr>
          <w:rFonts w:ascii="Arial" w:hAnsi="Arial" w:cs="Arial"/>
          <w:b/>
          <w:bCs/>
          <w:sz w:val="20"/>
          <w:szCs w:val="20"/>
        </w:rPr>
        <w:t xml:space="preserve"> </w:t>
      </w:r>
      <w:r w:rsidRPr="00E77E63">
        <w:rPr>
          <w:rFonts w:ascii="Arial" w:hAnsi="Arial" w:cs="Arial"/>
          <w:bCs/>
          <w:sz w:val="20"/>
          <w:szCs w:val="20"/>
        </w:rPr>
        <w:t>Estrategias ascendentes de desarrollo local en el marco del FEADER y su tratamiento en el Programa de Desarrollo Rural de Cantabria 2014-2020. El desarrollo local participativo (DLP): Estrategias, grupos de acción local y ayudas al DLP. La cooperación para la innovación: grupos operativos, proyectos piloto y otros.</w:t>
      </w:r>
      <w:r w:rsidR="00266A40" w:rsidRPr="00E77E63">
        <w:rPr>
          <w:rFonts w:ascii="Arial" w:hAnsi="Arial" w:cs="Arial"/>
          <w:bCs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b/>
          <w:bCs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La política de desarrollo rural en el período 2014-2020 (IV).</w:t>
      </w:r>
      <w:r w:rsidRPr="00E77E63">
        <w:rPr>
          <w:rFonts w:ascii="Arial" w:hAnsi="Arial" w:cs="Arial"/>
          <w:b/>
          <w:bCs/>
          <w:sz w:val="20"/>
          <w:szCs w:val="20"/>
        </w:rPr>
        <w:t xml:space="preserve"> </w:t>
      </w:r>
      <w:r w:rsidRPr="00E77E63">
        <w:rPr>
          <w:rFonts w:ascii="Arial" w:hAnsi="Arial" w:cs="Arial"/>
          <w:sz w:val="20"/>
          <w:szCs w:val="20"/>
        </w:rPr>
        <w:t xml:space="preserve">Programa de Desarrollo Rural de Cantabria 2014-2020: </w:t>
      </w:r>
      <w:proofErr w:type="spellStart"/>
      <w:r w:rsidRPr="00E77E63">
        <w:rPr>
          <w:rFonts w:ascii="Arial" w:hAnsi="Arial" w:cs="Arial"/>
          <w:sz w:val="20"/>
          <w:szCs w:val="20"/>
        </w:rPr>
        <w:t>Agroambiente</w:t>
      </w:r>
      <w:proofErr w:type="spellEnd"/>
      <w:r w:rsidRPr="00E77E63">
        <w:rPr>
          <w:rFonts w:ascii="Arial" w:hAnsi="Arial" w:cs="Arial"/>
          <w:sz w:val="20"/>
          <w:szCs w:val="20"/>
        </w:rPr>
        <w:t xml:space="preserve"> y clima; Zonas con limitaciones naturales; agricultura ecológica; Ayudas a industrias agroalimentarias.</w:t>
      </w:r>
      <w:r w:rsidR="00266A40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lastRenderedPageBreak/>
        <w:t>El sector de cereales, oleaginosas, proteaginosas y leguminosas. Antecedentes, evolución y perspectivas. Situación actual en Cantabria. El mercado comunitario, características principales de la regulación y su relación con la OCM única. Periodo 2014-2020.</w:t>
      </w:r>
      <w:r w:rsidR="00534B50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El sector de frutas y hortalizas frescas. Antecedentes, evolución y perspectivas. Situación actual en Cantabria. El mercado comunitario del sector de frutas y hortalizas frescas, pagos directos, características principales de la regulación y su relación con la OCM única. Periodo 2014-2020.</w:t>
      </w:r>
      <w:r w:rsidR="00534B50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El sector vitivinícola. Antecedentes, evolución y perspectivas. Situación actual en Cantabria. El mercado comunitario del sector vitivinícola, pagos directos, características principales de la regulación y su relación con la OCM única. Periodo 2014-2020. El régimen comunitario aplicable a los vinos de calidad. Características. Requisitos. Disposiciones vigentes. Situación en Cantabria.</w:t>
      </w:r>
      <w:r w:rsidR="00534B50" w:rsidRPr="00E77E63">
        <w:rPr>
          <w:rFonts w:ascii="Arial" w:hAnsi="Arial" w:cs="Arial"/>
          <w:sz w:val="20"/>
          <w:szCs w:val="20"/>
        </w:rPr>
        <w:t xml:space="preserve"> </w:t>
      </w:r>
    </w:p>
    <w:p w:rsidR="00E77E63" w:rsidRPr="00E77E63" w:rsidRDefault="00A55C68" w:rsidP="007F5F41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El sector lácteo. Antecedentes, evolución y perspectivas. Situación actual en Cantabria. El mercado comunitario del sector lácteo, pagos directos, características principales de la regulación y su relación con la OCM única. Periodo 2014-2020.</w:t>
      </w:r>
      <w:r w:rsidR="00534B50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7F5F41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El sector de vacuno de carne. Antecedentes, evolución y perspectivas. Situación actual en Cantabria. El mercado comunitario de la carne de vacuno, pagos directos, características principales de la regulación y su relación con la OCM única. Periodo 2014-2020.</w:t>
      </w:r>
      <w:r w:rsidR="00534B50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El sector ovino y caprino. Antecedentes, evolución y perspectivas. Situación actual en Cantabria. El mercado comunitario de la carne de ovino y caprino, pagos directos, características principales de la regulación y su relación con la OCM única. Periodo 2014-2020.</w:t>
      </w:r>
      <w:r w:rsidR="00534B50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Los sectores ganaderos intensivos (porcino, huevos y aves). Antecedentes, evolución y perspectivas. Situación actual en Cantabria. El mercado comunitario, características principales de la regulación y su relación con la OCM única. Periodo 2014-2020.</w:t>
      </w:r>
      <w:r w:rsidR="00534B50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 xml:space="preserve">Las normas comunitarias sobre la competencia aplicable a la agricultura. Relación con la PAC. Ayudas estatales en agricultura y desarrollo rural: las directrices sobre ayudas estatales al sector agrario y forestal, el Reglamento sobre pequeñas y medianas empresas agrarias. Las ayudas de </w:t>
      </w:r>
      <w:proofErr w:type="spellStart"/>
      <w:r w:rsidRPr="00E77E63">
        <w:rPr>
          <w:rFonts w:ascii="Arial" w:hAnsi="Arial" w:cs="Arial"/>
          <w:i/>
          <w:sz w:val="20"/>
          <w:szCs w:val="20"/>
        </w:rPr>
        <w:t>mínimis</w:t>
      </w:r>
      <w:proofErr w:type="spellEnd"/>
      <w:r w:rsidRPr="00E77E63">
        <w:rPr>
          <w:rFonts w:ascii="Arial" w:hAnsi="Arial" w:cs="Arial"/>
          <w:sz w:val="20"/>
          <w:szCs w:val="20"/>
        </w:rPr>
        <w:t>.</w:t>
      </w:r>
      <w:r w:rsidR="00534B50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La política forestal comunitaria. Situación actual y perspectivas. Fomento de la forestación y conservación de masas forestales.</w:t>
      </w:r>
      <w:r w:rsidR="00A80970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La política pesquera común (PPC). Antecedentes y evolución. Régimen de cuotas y de capturas. La OCM del sector de la pesca. Características principales de la regulación. El Fondo Europeo Marítimo de la Pesca (FEMP) 2014-2020.</w:t>
      </w:r>
      <w:r w:rsidR="00A80970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80970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 xml:space="preserve">Calidad en los alimentos: definición y principios. La seguridad alimentaria. El control de calidad en los alimentos. El control voluntario: organismos de certificación. El autocontrol: análisis de peligros y puntos críticos de control. Disposiciones vigentes. Referencia específica a Cantabria. </w:t>
      </w:r>
      <w:r w:rsidR="00A55C68" w:rsidRPr="00E77E63">
        <w:rPr>
          <w:rFonts w:ascii="Arial" w:hAnsi="Arial" w:cs="Arial"/>
          <w:sz w:val="20"/>
          <w:szCs w:val="20"/>
        </w:rPr>
        <w:t>La legislación alimentaria en España: el Código Alimentario español. Concepto y estructura. Calidad en los alimentos: definición, principios y normas. La seguridad alimentaria. El control de calidad en los alimentos. El control voluntario: organismos de certificación. El autocontrol: análisis de peligros y puntos críticos de control. Disposiciones vigentes. Referencia específica a Cantabria.</w:t>
      </w:r>
      <w:r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trike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 xml:space="preserve">La defensa de la calidad diferenciada de los productos agroalimentarios: las denominaciones de origen protegidas, las indicaciones geográficas protegidas. Definición, características, requisitos. Legislación vigente. Las especialidades tradicionales garantizadas. Concepto, requisitos. Legislación vigente.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lastRenderedPageBreak/>
        <w:t>El paquete higiene: El Reglamento 852/2004, de 29 de abril. Requisitos para los operadores de las empresas alimentarias en la producción primaria. Requisitos para el resto de operadores de la cadena alimentaria. La higiene y la trazabilidad en la producción primaria agrícola. Registro de Operadores. Guías de Buenas Prácticas de Higiene. Programa de control oficial de la producción primaria agrícola.</w:t>
      </w:r>
      <w:r w:rsidR="00A80970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Agricultura y medio ambiente. Legislación europea y nacional aplicable en materia medioambiental a la actividad agraria. Buenas prácticas agrícolas. Equilibrio agricultura-medio ambiente. La agricultura y los bienes públicos medioambientales. Sostenibilidad de la agricultura. Producción integrada.</w:t>
      </w:r>
      <w:r w:rsidR="00A80970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 xml:space="preserve">La agricultura y el cambio climático. El protocolo de </w:t>
      </w:r>
      <w:proofErr w:type="spellStart"/>
      <w:r w:rsidRPr="00E77E63">
        <w:rPr>
          <w:rFonts w:ascii="Arial" w:hAnsi="Arial" w:cs="Arial"/>
          <w:sz w:val="20"/>
          <w:szCs w:val="20"/>
        </w:rPr>
        <w:t>Kyoto</w:t>
      </w:r>
      <w:proofErr w:type="spellEnd"/>
      <w:r w:rsidRPr="00E77E63">
        <w:rPr>
          <w:rFonts w:ascii="Arial" w:hAnsi="Arial" w:cs="Arial"/>
          <w:sz w:val="20"/>
          <w:szCs w:val="20"/>
        </w:rPr>
        <w:t xml:space="preserve"> y su cumplimiento en España. Fuentes de emisión de gases de efecto invernadero (GEI) en la agricultura. Magnitud, importancia relativa y evolución de las emisiones GEI del sector agrario en España. Las energías renovables y la agricultura. El acuerdo de París. La conferencia de Bonn sobre cambio climático.</w:t>
      </w:r>
      <w:r w:rsidR="00A80970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La sanidad vegetal en España. Ley de Sanidad Vegetal. Distribución de competencias. Organización administrativa. Comité Fitosanitario Nacional. Puntos de Inspección Fronterizos de sanidad vegetal (PIF). Estructura orgánica, funcional y localización geográfica.</w:t>
      </w:r>
      <w:r w:rsidR="00C4197C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El uso sostenible de los productos fitosanitarios: Directiva 2009/128/CE, de 21 de octubre, y Real Decreto 1311/2012, de 14 de septiembre. El Plan de Acción Nacional de uso sostenible de los productos fitosanitarios. Implementación de la Gestión Integrada de Plagas en España. Programas de vigilancia de la comercialización y el uso de los productos fitosanitario. EL ROPO.</w:t>
      </w:r>
      <w:r w:rsidR="00C4197C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jc w:val="both"/>
        <w:rPr>
          <w:rFonts w:ascii="Arial" w:hAnsi="Arial" w:cs="Arial"/>
          <w:b/>
          <w:bCs/>
          <w:sz w:val="20"/>
          <w:szCs w:val="20"/>
        </w:rPr>
      </w:pPr>
    </w:p>
    <w:p w:rsidR="00A55C68" w:rsidRPr="00E77E63" w:rsidRDefault="00A55C68" w:rsidP="000E663C">
      <w:p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jc w:val="both"/>
        <w:rPr>
          <w:rFonts w:ascii="Arial" w:hAnsi="Arial" w:cs="Arial"/>
          <w:b/>
          <w:bCs/>
          <w:sz w:val="20"/>
          <w:szCs w:val="20"/>
        </w:rPr>
      </w:pPr>
      <w:r w:rsidRPr="00E77E63">
        <w:rPr>
          <w:rFonts w:ascii="Arial" w:hAnsi="Arial" w:cs="Arial"/>
          <w:b/>
          <w:bCs/>
          <w:sz w:val="20"/>
          <w:szCs w:val="20"/>
        </w:rPr>
        <w:t>BLOQUE III</w:t>
      </w:r>
    </w:p>
    <w:p w:rsidR="00A55C68" w:rsidRPr="00E77E63" w:rsidRDefault="00A55C68" w:rsidP="000E663C">
      <w:p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jc w:val="both"/>
        <w:rPr>
          <w:rFonts w:ascii="Arial" w:hAnsi="Arial" w:cs="Arial"/>
          <w:b/>
          <w:bCs/>
          <w:sz w:val="20"/>
          <w:szCs w:val="20"/>
        </w:rPr>
      </w:pP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Diseño y construcción de alojamientos para el ganado: generalidades, control de ambiente, características constructivas, servicios.</w:t>
      </w:r>
      <w:r w:rsidR="006643C2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Diseño y construcción de alojamientos para el ganado vacuno: vacuno lechero, vacuno de cría, cebaderos. Descripción de los diferentes modelos y dimensionado.</w:t>
      </w:r>
      <w:r w:rsidR="006643C2" w:rsidRPr="00E77E63">
        <w:rPr>
          <w:rFonts w:ascii="Arial" w:hAnsi="Arial" w:cs="Arial"/>
          <w:sz w:val="20"/>
          <w:szCs w:val="20"/>
        </w:rPr>
        <w:t xml:space="preserve"> </w:t>
      </w:r>
    </w:p>
    <w:p w:rsidR="00E77E63" w:rsidRPr="00E77E63" w:rsidRDefault="00A55C68" w:rsidP="006736E4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Concentración parcelaria: normativa reguladora estatal y autonómica, el proceso de concentración parcelaria. Especial referencia a Cantabria.</w:t>
      </w:r>
      <w:r w:rsidR="006643C2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6736E4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Caminos rurales: diseño y construcción. Documentos del proyecto, características constructivas, materiales y maquinaria empleada.</w:t>
      </w:r>
      <w:r w:rsidR="006643C2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Obras para regadío. Pequeños embalses y redes de distribución. Materiales y criterios de diseño.</w:t>
      </w:r>
      <w:r w:rsidR="006643C2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Proyectos de infraestructura rural. Redacción de proyectos. Evaluación de Impacto Ambiental. Supervisión de proyectos. Plan de seguridad y salud. Dirección de obras. Certificaciones de obras, incidencias en las obras. Recepción, liquidación, garantía de las obras.</w:t>
      </w:r>
      <w:r w:rsidR="006643C2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 xml:space="preserve">Valoración de fincas rústicas e instalaciones agrarias. Métodos clásicos de valoración. Métodos modernos de valoración. El mercado de fincas. Características del mercado de fincas en Cantabria. Fijación del precio en el mercado. </w:t>
      </w:r>
    </w:p>
    <w:p w:rsidR="00E77E63" w:rsidRPr="00E77E63" w:rsidRDefault="00A55C68" w:rsidP="001E7393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Contabilidad agraria. Contabilidad general y analítica. Métodos contables. Patrimonio y balance. Balance tipo de la empresa agraria. Análisis financiero del balance.</w:t>
      </w:r>
      <w:r w:rsidR="006643C2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1E7393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 xml:space="preserve">Microeconomía. Ecuación fundamental del beneficio empresarial. Principales indicadores microeconómicos de una explotación. Orientaciones técnico-económicas de las </w:t>
      </w:r>
      <w:r w:rsidRPr="00E77E63">
        <w:rPr>
          <w:rFonts w:ascii="Arial" w:hAnsi="Arial" w:cs="Arial"/>
          <w:sz w:val="20"/>
          <w:szCs w:val="20"/>
        </w:rPr>
        <w:lastRenderedPageBreak/>
        <w:t>explotaciones. Red Contable Agraria. Características generales de la explotación tipo. Valor de los bienes y servicios obtenidos. Costes de producción, balance económico. Resultados de explotación y distribución de los mismos. Interrelación de resultados micro y macroeconómicos.</w:t>
      </w:r>
      <w:r w:rsidR="006643C2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 xml:space="preserve">Sistemas de información geográfica. Funciones de un S.I.G. vectorial y de un S.I.G. </w:t>
      </w:r>
      <w:proofErr w:type="spellStart"/>
      <w:r w:rsidRPr="00E77E63">
        <w:rPr>
          <w:rFonts w:ascii="Arial" w:hAnsi="Arial" w:cs="Arial"/>
          <w:sz w:val="20"/>
          <w:szCs w:val="20"/>
        </w:rPr>
        <w:t>ráster</w:t>
      </w:r>
      <w:proofErr w:type="spellEnd"/>
      <w:r w:rsidRPr="00E77E63">
        <w:rPr>
          <w:rFonts w:ascii="Arial" w:hAnsi="Arial" w:cs="Arial"/>
          <w:sz w:val="20"/>
          <w:szCs w:val="20"/>
        </w:rPr>
        <w:t>. Áreas de aplicación en la agronomía y medios de transmisión. La fotogrametría y la teledetección de satélites aplicadas a la agricultura. Fundamentos. SIGPAC. Aplicación al control de ayudas de la PAC.</w:t>
      </w:r>
      <w:r w:rsidR="006643C2" w:rsidRPr="00E77E63">
        <w:rPr>
          <w:rFonts w:ascii="Arial" w:hAnsi="Arial" w:cs="Arial"/>
          <w:sz w:val="20"/>
          <w:szCs w:val="20"/>
        </w:rPr>
        <w:t xml:space="preserve"> </w:t>
      </w:r>
    </w:p>
    <w:p w:rsidR="006643C2" w:rsidRPr="00E77E63" w:rsidRDefault="006643C2" w:rsidP="000E663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 xml:space="preserve">La mejora genética vegetal. Plantas </w:t>
      </w:r>
      <w:proofErr w:type="spellStart"/>
      <w:r w:rsidRPr="00E77E63">
        <w:rPr>
          <w:rFonts w:ascii="Arial" w:hAnsi="Arial" w:cs="Arial"/>
          <w:sz w:val="20"/>
          <w:szCs w:val="20"/>
        </w:rPr>
        <w:t>autógamas</w:t>
      </w:r>
      <w:proofErr w:type="spellEnd"/>
      <w:r w:rsidRPr="00E77E63">
        <w:rPr>
          <w:rFonts w:ascii="Arial" w:hAnsi="Arial" w:cs="Arial"/>
          <w:sz w:val="20"/>
          <w:szCs w:val="20"/>
        </w:rPr>
        <w:t xml:space="preserve"> y </w:t>
      </w:r>
      <w:proofErr w:type="spellStart"/>
      <w:r w:rsidRPr="00E77E63">
        <w:rPr>
          <w:rFonts w:ascii="Arial" w:hAnsi="Arial" w:cs="Arial"/>
          <w:sz w:val="20"/>
          <w:szCs w:val="20"/>
        </w:rPr>
        <w:t>alógamas</w:t>
      </w:r>
      <w:proofErr w:type="spellEnd"/>
      <w:r w:rsidRPr="00E77E63">
        <w:rPr>
          <w:rFonts w:ascii="Arial" w:hAnsi="Arial" w:cs="Arial"/>
          <w:sz w:val="20"/>
          <w:szCs w:val="20"/>
        </w:rPr>
        <w:t>, Metodologías y tipos de selección. Cruzamientos. La mejora genética en Cantabria.</w:t>
      </w:r>
      <w:r w:rsidR="006643C2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Diseño y construcción de industrias agroalimentarias: generalidades, emplazamiento, características constructivas, instalaciones básicas, normativa. El registro de industrias agroalimentarias, forestales y pesqueras de Cantabria.</w:t>
      </w:r>
      <w:r w:rsidR="006360C3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6360C3" w:rsidP="000E663C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 xml:space="preserve">Diseño y construcción de industrias lácteas: producción de leche líquida pasteurizada y UHT, descripción de los procesos y las instalaciones, </w:t>
      </w:r>
      <w:r w:rsidR="00A55C68" w:rsidRPr="00E77E63">
        <w:rPr>
          <w:rFonts w:ascii="Arial" w:hAnsi="Arial" w:cs="Arial"/>
          <w:sz w:val="20"/>
          <w:szCs w:val="20"/>
        </w:rPr>
        <w:t>distribución. Normativa específica.</w:t>
      </w:r>
      <w:r w:rsidRPr="00E77E63">
        <w:rPr>
          <w:rFonts w:ascii="Arial" w:hAnsi="Arial" w:cs="Arial"/>
          <w:sz w:val="20"/>
          <w:szCs w:val="20"/>
        </w:rPr>
        <w:t xml:space="preserve"> </w:t>
      </w:r>
    </w:p>
    <w:p w:rsidR="00E77E63" w:rsidRPr="00E77E63" w:rsidRDefault="00A55C68" w:rsidP="00017A9D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 xml:space="preserve">Diseño y construcción de industrias lácteas: queserías, descripción del proceso y las instalaciones, </w:t>
      </w:r>
      <w:r w:rsidR="00882F18" w:rsidRPr="00E77E63">
        <w:rPr>
          <w:rFonts w:ascii="Arial" w:hAnsi="Arial" w:cs="Arial"/>
          <w:sz w:val="20"/>
          <w:szCs w:val="20"/>
        </w:rPr>
        <w:t>distribución</w:t>
      </w:r>
      <w:r w:rsidRPr="00E77E63">
        <w:rPr>
          <w:rFonts w:ascii="Arial" w:hAnsi="Arial" w:cs="Arial"/>
          <w:sz w:val="20"/>
          <w:szCs w:val="20"/>
        </w:rPr>
        <w:t>. Normativa específica.</w:t>
      </w:r>
      <w:r w:rsidR="006360C3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17A9D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Diseño y construcción de mataderos de vacuno:</w:t>
      </w:r>
      <w:r w:rsidR="00B67ADF" w:rsidRPr="00E77E63">
        <w:rPr>
          <w:rFonts w:ascii="Arial" w:hAnsi="Arial" w:cs="Arial"/>
          <w:sz w:val="20"/>
          <w:szCs w:val="20"/>
        </w:rPr>
        <w:t xml:space="preserve"> </w:t>
      </w:r>
      <w:r w:rsidRPr="00E77E63">
        <w:rPr>
          <w:rFonts w:ascii="Arial" w:hAnsi="Arial" w:cs="Arial"/>
          <w:sz w:val="20"/>
          <w:szCs w:val="20"/>
        </w:rPr>
        <w:t>maquinaria, distribución.</w:t>
      </w:r>
      <w:r w:rsidR="00B67ADF" w:rsidRPr="00E77E63">
        <w:rPr>
          <w:rFonts w:ascii="Arial" w:hAnsi="Arial" w:cs="Arial"/>
          <w:sz w:val="20"/>
          <w:szCs w:val="20"/>
        </w:rPr>
        <w:t xml:space="preserve"> Normativa específica.</w:t>
      </w:r>
      <w:r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 xml:space="preserve">Sector vitivinícola. </w:t>
      </w:r>
      <w:hyperlink r:id="rId8" w:history="1">
        <w:r w:rsidRPr="00E77E63">
          <w:rPr>
            <w:rFonts w:ascii="Arial" w:hAnsi="Arial" w:cs="Arial"/>
            <w:sz w:val="20"/>
            <w:szCs w:val="20"/>
          </w:rPr>
          <w:t>Documentos que acompañan el transporte de los productos vitivinícolas.  Registros</w:t>
        </w:r>
      </w:hyperlink>
      <w:r w:rsidRPr="00E77E63">
        <w:rPr>
          <w:rFonts w:ascii="Arial" w:hAnsi="Arial" w:cs="Arial"/>
          <w:sz w:val="20"/>
          <w:szCs w:val="20"/>
        </w:rPr>
        <w:t xml:space="preserve">. Declaraciones obligatorias.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Residuos ganaderos y de industrias agrarias. Depuración, vertido y eliminación. Problemática y actuaciones.</w:t>
      </w:r>
      <w:r w:rsidR="006360C3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Maquinaria y equipos. Tipos y características. Mecanización de la agricultura española y cántabra. Homologación y requisitos para la comercialización de la maquinaria en España. El Registro Oficial de Maquinaria Agrícola. Líneas de ayuda.</w:t>
      </w:r>
      <w:r w:rsidR="006360C3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Ordeño mecánico para ganado vacuno. La instalación de ordeño mecánico. Sistemas de ordeño. Normativa e instalaciones.</w:t>
      </w:r>
      <w:r w:rsidR="00CE6EC8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 xml:space="preserve">La refrigeración de la leche. Curva de enfriamiento. El tanque refrigerador. Control de calidad de la leche en granja. </w:t>
      </w:r>
    </w:p>
    <w:p w:rsidR="00E77E63" w:rsidRPr="00E77E63" w:rsidRDefault="00A55C68" w:rsidP="00464DA2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La formación profesional agraria reglada y no reglada. El sistema educativo actual y la formación profesional. La difusión del conocimiento en el medio rural y agrario. Situación de la formación y de la transferencia del conocimiento agrario en Cantabria. Los sistemas de asesoramiento a las explotaciones.</w:t>
      </w:r>
      <w:r w:rsidR="00CE6EC8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464DA2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Política de investigación</w:t>
      </w:r>
      <w:r w:rsidR="009554C7" w:rsidRPr="00E77E63">
        <w:rPr>
          <w:rFonts w:ascii="Arial" w:hAnsi="Arial" w:cs="Arial"/>
          <w:sz w:val="20"/>
          <w:szCs w:val="20"/>
        </w:rPr>
        <w:t>,</w:t>
      </w:r>
      <w:r w:rsidRPr="00E77E63">
        <w:rPr>
          <w:rFonts w:ascii="Arial" w:hAnsi="Arial" w:cs="Arial"/>
          <w:sz w:val="20"/>
          <w:szCs w:val="20"/>
        </w:rPr>
        <w:t xml:space="preserve"> desarrollo e innovación tecnológica agraria y alimentaria. Planificación, programación, organización y difusión de la investigación agraria. Programas y organización. La innovación tecnológica y su difusión en la agricultura.</w:t>
      </w:r>
      <w:r w:rsidR="00CE6EC8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La investigación agraria en Cantabria. Entidades investigadoras. Líneas de investigación. Principales proyectos de investigación.</w:t>
      </w:r>
      <w:r w:rsidR="00CE6EC8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La comercialización agraria, pesquera y alimentaria. Interdependencias. Escalones y circuitos comerciales en España y en Cantabria. Peculiaridades sectoriales. La transparencia de los mercados. La información de precios. Tipificación y normalización.</w:t>
      </w:r>
      <w:r w:rsidR="00CE6EC8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0E663C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 xml:space="preserve">Asociacionismo agrario y pesquero. Fórmulas asociativas. Cooperativas. Régimen jurídico. Sociedades agrarias de transformación. Las agrupaciones de productores agrarios. Otras </w:t>
      </w:r>
      <w:r w:rsidRPr="00E77E63">
        <w:rPr>
          <w:rFonts w:ascii="Arial" w:hAnsi="Arial" w:cs="Arial"/>
          <w:sz w:val="20"/>
          <w:szCs w:val="20"/>
        </w:rPr>
        <w:lastRenderedPageBreak/>
        <w:t>figuras asociativas. La Ley de fomento de la integración de cooperativas y de otras entidades asociativas de carácter agroalimentario. Relaciones contractuales agricultura-industrias agroalimentarias. Situación en Cantabria.</w:t>
      </w:r>
      <w:r w:rsidR="00CE6EC8" w:rsidRPr="00E77E63">
        <w:rPr>
          <w:rFonts w:ascii="Arial" w:hAnsi="Arial" w:cs="Arial"/>
          <w:sz w:val="20"/>
          <w:szCs w:val="20"/>
        </w:rPr>
        <w:t xml:space="preserve"> </w:t>
      </w:r>
    </w:p>
    <w:p w:rsidR="00E77E63" w:rsidRPr="00E77E63" w:rsidRDefault="00A55C68" w:rsidP="00125D1D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Los Seguros Agrarios. Características. Objetivos. El sistema de seguros agrarios combinados. Los Planes Anuales de seguros agrarios, fines y contenidos. Niveles de implantación de los seguros agrarios. Situación en Cantabria.</w:t>
      </w:r>
      <w:r w:rsidR="00CE6EC8" w:rsidRPr="00E77E63">
        <w:rPr>
          <w:rFonts w:ascii="Arial" w:hAnsi="Arial" w:cs="Arial"/>
          <w:sz w:val="20"/>
          <w:szCs w:val="20"/>
        </w:rPr>
        <w:t xml:space="preserve"> </w:t>
      </w:r>
    </w:p>
    <w:p w:rsidR="00A55C68" w:rsidRPr="00E77E63" w:rsidRDefault="00A55C68" w:rsidP="00125D1D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 xml:space="preserve">Las principales leyes agrarias y pesqueras españolas (I). La Ley de Semillas y Plantas de Vivero y de recursos </w:t>
      </w:r>
      <w:proofErr w:type="spellStart"/>
      <w:r w:rsidRPr="00E77E63">
        <w:rPr>
          <w:rFonts w:ascii="Arial" w:hAnsi="Arial" w:cs="Arial"/>
          <w:sz w:val="20"/>
          <w:szCs w:val="20"/>
        </w:rPr>
        <w:t>fitogenéticos</w:t>
      </w:r>
      <w:proofErr w:type="spellEnd"/>
      <w:r w:rsidRPr="00E77E63">
        <w:rPr>
          <w:rFonts w:ascii="Arial" w:hAnsi="Arial" w:cs="Arial"/>
          <w:sz w:val="20"/>
          <w:szCs w:val="20"/>
        </w:rPr>
        <w:t>. La Ley de Protección de Obtenciones Vegetales. La Ley de Pesca Marítima del Estado. La Ley de las Organizaciones Interprofesionales Agroalimentarias.</w:t>
      </w:r>
      <w:r w:rsidR="00CE6EC8" w:rsidRPr="00E77E63">
        <w:rPr>
          <w:rFonts w:ascii="Arial" w:hAnsi="Arial" w:cs="Arial"/>
          <w:sz w:val="20"/>
          <w:szCs w:val="20"/>
        </w:rPr>
        <w:t xml:space="preserve"> </w:t>
      </w:r>
    </w:p>
    <w:p w:rsidR="00033DBB" w:rsidRPr="00E77E63" w:rsidRDefault="00A55C68" w:rsidP="00CE7309">
      <w:pPr>
        <w:pStyle w:val="Prrafodelista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before="120" w:after="0" w:line="240" w:lineRule="auto"/>
        <w:ind w:left="993" w:hanging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E63">
        <w:rPr>
          <w:rFonts w:ascii="Arial" w:hAnsi="Arial" w:cs="Arial"/>
          <w:sz w:val="20"/>
          <w:szCs w:val="20"/>
        </w:rPr>
        <w:t>Las principales leyes agrarias y pesqueras españolas (II). La Ley de Reforma y Desarrollo Agrario. La Ley de Modernización de las Explotaciones Agrarias. La Ley de Arrendamientos R</w:t>
      </w:r>
      <w:bookmarkStart w:id="0" w:name="_GoBack"/>
      <w:bookmarkEnd w:id="0"/>
      <w:r w:rsidRPr="00E77E63">
        <w:rPr>
          <w:rFonts w:ascii="Arial" w:hAnsi="Arial" w:cs="Arial"/>
          <w:sz w:val="20"/>
          <w:szCs w:val="20"/>
        </w:rPr>
        <w:t>ústicos. La Ley de Montes y la Ley de Montes Vecinales en Mano Común</w:t>
      </w:r>
      <w:r w:rsidR="00CE6EC8" w:rsidRPr="00E77E63">
        <w:rPr>
          <w:rFonts w:ascii="Arial" w:hAnsi="Arial" w:cs="Arial"/>
          <w:sz w:val="20"/>
          <w:szCs w:val="20"/>
        </w:rPr>
        <w:t xml:space="preserve">. </w:t>
      </w:r>
    </w:p>
    <w:sectPr w:rsidR="00033DBB" w:rsidRPr="00E77E63" w:rsidSect="006643C2">
      <w:headerReference w:type="default" r:id="rId9"/>
      <w:pgSz w:w="11906" w:h="16838"/>
      <w:pgMar w:top="1417" w:right="99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5C68" w:rsidRDefault="00A55C68" w:rsidP="00A55C68">
      <w:pPr>
        <w:spacing w:after="0" w:line="240" w:lineRule="auto"/>
      </w:pPr>
      <w:r>
        <w:separator/>
      </w:r>
    </w:p>
  </w:endnote>
  <w:endnote w:type="continuationSeparator" w:id="0">
    <w:p w:rsidR="00A55C68" w:rsidRDefault="00A55C68" w:rsidP="00A55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 Ext Condensed Bold">
    <w:panose1 w:val="020B09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5C68" w:rsidRDefault="00A55C68" w:rsidP="00A55C68">
      <w:pPr>
        <w:spacing w:after="0" w:line="240" w:lineRule="auto"/>
      </w:pPr>
      <w:r>
        <w:separator/>
      </w:r>
    </w:p>
  </w:footnote>
  <w:footnote w:type="continuationSeparator" w:id="0">
    <w:p w:rsidR="00A55C68" w:rsidRDefault="00A55C68" w:rsidP="00A55C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7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248"/>
      <w:gridCol w:w="4536"/>
    </w:tblGrid>
    <w:tr w:rsidR="00A55C68" w:rsidTr="00393D36">
      <w:tc>
        <w:tcPr>
          <w:tcW w:w="4248" w:type="dxa"/>
        </w:tcPr>
        <w:p w:rsidR="00A55C68" w:rsidRDefault="00A55C68" w:rsidP="00A55C68">
          <w:pPr>
            <w:pStyle w:val="Encabezado"/>
          </w:pPr>
        </w:p>
        <w:tbl>
          <w:tblPr>
            <w:tblW w:w="12792" w:type="dxa"/>
            <w:tblLayout w:type="fixed"/>
            <w:tblLook w:val="00A0" w:firstRow="1" w:lastRow="0" w:firstColumn="1" w:lastColumn="0" w:noHBand="0" w:noVBand="0"/>
          </w:tblPr>
          <w:tblGrid>
            <w:gridCol w:w="7088"/>
            <w:gridCol w:w="5704"/>
          </w:tblGrid>
          <w:tr w:rsidR="00A55C68" w:rsidTr="00393D36">
            <w:trPr>
              <w:trHeight w:val="1565"/>
            </w:trPr>
            <w:tc>
              <w:tcPr>
                <w:tcW w:w="7088" w:type="dxa"/>
                <w:shd w:val="clear" w:color="auto" w:fill="auto"/>
                <w:vAlign w:val="center"/>
              </w:tcPr>
              <w:p w:rsidR="00A55C68" w:rsidRDefault="00A55C68" w:rsidP="00A55C68">
                <w:pPr>
                  <w:pStyle w:val="Encabezado"/>
                  <w:tabs>
                    <w:tab w:val="clear" w:pos="4252"/>
                    <w:tab w:val="clear" w:pos="8504"/>
                    <w:tab w:val="left" w:pos="8505"/>
                  </w:tabs>
                  <w:ind w:left="-1104" w:right="-1494" w:firstLine="714"/>
                </w:pPr>
                <w:r>
                  <w:fldChar w:fldCharType="begin"/>
                </w:r>
                <w:r>
                  <w:instrText xml:space="preserve"> INCLUDEPICTURE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 w:rsidR="00FA61D4">
                  <w:fldChar w:fldCharType="begin"/>
                </w:r>
                <w:r w:rsidR="00FA61D4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FA61D4">
                  <w:fldChar w:fldCharType="separate"/>
                </w:r>
                <w:r w:rsidR="009554C7">
                  <w:fldChar w:fldCharType="begin"/>
                </w:r>
                <w:r w:rsidR="009554C7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9554C7">
                  <w:fldChar w:fldCharType="separate"/>
                </w:r>
                <w:r w:rsidR="00E77E63">
                  <w:fldChar w:fldCharType="begin"/>
                </w:r>
                <w:r w:rsidR="00E77E63">
                  <w:instrText xml:space="preserve"> </w:instrText>
                </w:r>
                <w:r w:rsidR="00E77E63">
                  <w:instrText>INCLUDEPICTURE  "https://www.cantabria.es/documents/28617/6427995/consejeria-presidencia.jpg/507b08e</w:instrText>
                </w:r>
                <w:r w:rsidR="00E77E63">
                  <w:instrText>4-6cc9-5edc-21fe-9f56c5ef1ce0?version=1.0&amp;t=1531733117535&amp;imagePreview=1" \* MERGEFORMATINET</w:instrText>
                </w:r>
                <w:r w:rsidR="00E77E63">
                  <w:instrText xml:space="preserve"> </w:instrText>
                </w:r>
                <w:r w:rsidR="00E77E63">
                  <w:fldChar w:fldCharType="separate"/>
                </w:r>
                <w:r w:rsidR="00E77E63"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alt="" style="width:170.35pt;height:88.1pt">
                      <v:imagedata r:id="rId1" r:href="rId2" cropright="33883f"/>
                    </v:shape>
                  </w:pict>
                </w:r>
                <w:r w:rsidR="00E77E63">
                  <w:fldChar w:fldCharType="end"/>
                </w:r>
                <w:r w:rsidR="009554C7">
                  <w:fldChar w:fldCharType="end"/>
                </w:r>
                <w:r w:rsidR="00FA61D4"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</w:p>
              <w:p w:rsidR="00A55C68" w:rsidRDefault="00A55C68" w:rsidP="00A55C68">
                <w:pPr>
                  <w:pStyle w:val="Encabezado"/>
                  <w:ind w:left="212" w:firstLine="426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DIRECCIÓN GENERAL</w:t>
                </w: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DE</w:t>
                </w:r>
              </w:p>
              <w:p w:rsidR="00A55C68" w:rsidRPr="00672DC2" w:rsidRDefault="00A55C68" w:rsidP="00A55C68">
                <w:pPr>
                  <w:pStyle w:val="Encabezado"/>
                  <w:ind w:firstLine="714"/>
                  <w:rPr>
                    <w:rFonts w:ascii="Arial" w:hAnsi="Arial" w:cs="Arial"/>
                    <w:color w:val="000000"/>
                    <w:sz w:val="19"/>
                    <w:szCs w:val="19"/>
                  </w:rPr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FUNCIÓN PÚBLICA</w:t>
                </w:r>
              </w:p>
              <w:p w:rsidR="00A55C68" w:rsidRPr="007D7894" w:rsidRDefault="00A55C68" w:rsidP="00A55C68">
                <w:pPr>
                  <w:pStyle w:val="Encabezado"/>
                  <w:ind w:left="-108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  <w:tc>
              <w:tcPr>
                <w:tcW w:w="5704" w:type="dxa"/>
                <w:shd w:val="clear" w:color="auto" w:fill="auto"/>
                <w:vAlign w:val="center"/>
              </w:tcPr>
              <w:p w:rsidR="00A55C68" w:rsidRPr="007D7894" w:rsidRDefault="00A55C68" w:rsidP="00A55C68">
                <w:pPr>
                  <w:pStyle w:val="Encabezado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</w:tr>
        </w:tbl>
        <w:p w:rsidR="00A55C68" w:rsidRDefault="00A55C68" w:rsidP="00A55C68">
          <w:pPr>
            <w:pStyle w:val="Encabezado"/>
          </w:pPr>
        </w:p>
      </w:tc>
      <w:tc>
        <w:tcPr>
          <w:tcW w:w="4536" w:type="dxa"/>
          <w:vAlign w:val="center"/>
        </w:tcPr>
        <w:p w:rsidR="00A55C68" w:rsidRDefault="00A55C68" w:rsidP="00A55C68">
          <w:pPr>
            <w:pStyle w:val="Encabezado"/>
            <w:tabs>
              <w:tab w:val="clear" w:pos="4252"/>
            </w:tabs>
            <w:ind w:left="-2448"/>
            <w:jc w:val="right"/>
          </w:pPr>
          <w:r>
            <w:fldChar w:fldCharType="begin"/>
          </w:r>
          <w:r>
            <w:instrText xml:space="preserve"> INCLUDEPICTURE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 w:rsidR="00FA61D4">
            <w:fldChar w:fldCharType="begin"/>
          </w:r>
          <w:r w:rsidR="00FA61D4">
            <w:instrText xml:space="preserve"> INCLUDEPICTURE  "https://www.cantabria.es/documents/28617/6414679/jubilar_vert_color.jpg/4fd3efde-f205-6ae1-ff34-c066943dd8b3?t=1531732852940" \* MERGEFORMATINET </w:instrText>
          </w:r>
          <w:r w:rsidR="00FA61D4">
            <w:fldChar w:fldCharType="separate"/>
          </w:r>
          <w:r w:rsidR="009554C7">
            <w:fldChar w:fldCharType="begin"/>
          </w:r>
          <w:r w:rsidR="009554C7">
            <w:instrText xml:space="preserve"> INCLUDEPICTURE  "https://www.cantabria.es/documents/28617/6414679/jubilar_vert_color.jpg/4fd3efde-f205-6ae1-ff34-c066943dd8b3?t=1531732852940" \* MERGEFORMATINET </w:instrText>
          </w:r>
          <w:r w:rsidR="009554C7">
            <w:fldChar w:fldCharType="separate"/>
          </w:r>
          <w:r w:rsidR="00E77E63">
            <w:fldChar w:fldCharType="begin"/>
          </w:r>
          <w:r w:rsidR="00E77E63">
            <w:instrText xml:space="preserve"> </w:instrText>
          </w:r>
          <w:r w:rsidR="00E77E63">
            <w:instrText>INCLUDEPICTURE  "https://www.cantabria.es/documents/28617/6414679/jubilar_vert_color.jpg/4fd3efde-f205-6ae1-ff34-c066943dd8b3?t=1531732852940" \* MERGEFORMATINET</w:instrText>
          </w:r>
          <w:r w:rsidR="00E77E63">
            <w:instrText xml:space="preserve"> </w:instrText>
          </w:r>
          <w:r w:rsidR="00E77E63">
            <w:fldChar w:fldCharType="separate"/>
          </w:r>
          <w:r w:rsidR="00E77E63">
            <w:pict>
              <v:shape id="_x0000_i1026" type="#_x0000_t75" alt="" style="width:119.3pt;height:71.45pt">
                <v:imagedata r:id="rId3" r:href="rId4"/>
              </v:shape>
            </w:pict>
          </w:r>
          <w:r w:rsidR="00E77E63">
            <w:fldChar w:fldCharType="end"/>
          </w:r>
          <w:r w:rsidR="009554C7">
            <w:fldChar w:fldCharType="end"/>
          </w:r>
          <w:r w:rsidR="00FA61D4"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</w:p>
      </w:tc>
    </w:tr>
  </w:tbl>
  <w:p w:rsidR="00A55C68" w:rsidRDefault="00A55C6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E2FB4"/>
    <w:multiLevelType w:val="multilevel"/>
    <w:tmpl w:val="EACC2E10"/>
    <w:lvl w:ilvl="0">
      <w:start w:val="1"/>
      <w:numFmt w:val="decimal"/>
      <w:lvlText w:val="TEMA %1.-"/>
      <w:lvlJc w:val="left"/>
      <w:pPr>
        <w:tabs>
          <w:tab w:val="num" w:pos="113"/>
        </w:tabs>
        <w:ind w:left="0" w:firstLine="0"/>
      </w:pPr>
      <w:rPr>
        <w:rFonts w:ascii="Arial" w:hAnsi="Arial" w:hint="default"/>
        <w:b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" w15:restartNumberingAfterBreak="0">
    <w:nsid w:val="15494E6C"/>
    <w:multiLevelType w:val="hybridMultilevel"/>
    <w:tmpl w:val="1F64A148"/>
    <w:lvl w:ilvl="0" w:tplc="EEA2438E">
      <w:start w:val="1"/>
      <w:numFmt w:val="decimal"/>
      <w:lvlText w:val="TEMA 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A14954"/>
    <w:multiLevelType w:val="hybridMultilevel"/>
    <w:tmpl w:val="B550468E"/>
    <w:lvl w:ilvl="0" w:tplc="AB962B98">
      <w:start w:val="56"/>
      <w:numFmt w:val="decimal"/>
      <w:lvlText w:val="TEMA %1.-"/>
      <w:lvlJc w:val="left"/>
      <w:pPr>
        <w:tabs>
          <w:tab w:val="num" w:pos="1134"/>
        </w:tabs>
        <w:ind w:left="1134" w:hanging="1134"/>
      </w:pPr>
      <w:rPr>
        <w:rFonts w:ascii="Arial" w:hAnsi="Arial" w:cs="Gill Sans MT Ext Condensed Bold" w:hint="default"/>
        <w:b/>
        <w:i w:val="0"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33B1311"/>
    <w:multiLevelType w:val="hybridMultilevel"/>
    <w:tmpl w:val="092A0312"/>
    <w:lvl w:ilvl="0" w:tplc="AC0CC29E">
      <w:start w:val="29"/>
      <w:numFmt w:val="decimal"/>
      <w:lvlText w:val="TEMA %1.-"/>
      <w:lvlJc w:val="left"/>
      <w:pPr>
        <w:tabs>
          <w:tab w:val="num" w:pos="1134"/>
        </w:tabs>
        <w:ind w:left="1134" w:hanging="1134"/>
      </w:pPr>
      <w:rPr>
        <w:rFonts w:ascii="Arial" w:hAnsi="Arial" w:cs="Gill Sans MT Ext Condensed Bold" w:hint="default"/>
        <w:b/>
        <w:i w:val="0"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4" w15:restartNumberingAfterBreak="0">
    <w:nsid w:val="6B8A6AB8"/>
    <w:multiLevelType w:val="singleLevel"/>
    <w:tmpl w:val="0C0A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C68"/>
    <w:rsid w:val="00033DBB"/>
    <w:rsid w:val="000E663C"/>
    <w:rsid w:val="00266A40"/>
    <w:rsid w:val="00534B50"/>
    <w:rsid w:val="006360C3"/>
    <w:rsid w:val="006643C2"/>
    <w:rsid w:val="00882F18"/>
    <w:rsid w:val="008A5B00"/>
    <w:rsid w:val="009554C7"/>
    <w:rsid w:val="00A5033C"/>
    <w:rsid w:val="00A55C68"/>
    <w:rsid w:val="00A80970"/>
    <w:rsid w:val="00B67ADF"/>
    <w:rsid w:val="00C4197C"/>
    <w:rsid w:val="00CE6EC8"/>
    <w:rsid w:val="00D83B47"/>
    <w:rsid w:val="00E03ED8"/>
    <w:rsid w:val="00E77E63"/>
    <w:rsid w:val="00EE3265"/>
    <w:rsid w:val="00FA61D4"/>
    <w:rsid w:val="00FB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FCF6A1"/>
  <w15:chartTrackingRefBased/>
  <w15:docId w15:val="{DE60CD41-4450-45CA-8967-19F2C3BF7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5C6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55C68"/>
    <w:pPr>
      <w:ind w:left="720"/>
      <w:contextualSpacing/>
    </w:pPr>
  </w:style>
  <w:style w:type="paragraph" w:styleId="Encabezado">
    <w:name w:val="header"/>
    <w:basedOn w:val="Normal"/>
    <w:link w:val="EncabezadoCar"/>
    <w:unhideWhenUsed/>
    <w:rsid w:val="00A55C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A55C68"/>
  </w:style>
  <w:style w:type="paragraph" w:styleId="Piedepgina">
    <w:name w:val="footer"/>
    <w:basedOn w:val="Normal"/>
    <w:link w:val="PiedepginaCar"/>
    <w:uiPriority w:val="99"/>
    <w:unhideWhenUsed/>
    <w:rsid w:val="00A55C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5C68"/>
  </w:style>
  <w:style w:type="table" w:styleId="Tablaconcuadrcula">
    <w:name w:val="Table Grid"/>
    <w:basedOn w:val="Tablanormal"/>
    <w:uiPriority w:val="39"/>
    <w:rsid w:val="00A55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pa.gob.es/es/alimentacion/legislacion/recopilaciones-legislativas-monograficas/documentos_sector_vitivinicola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https://www.cantabria.es/documents/28617/6427995/consejeria-presidencia.jpg/507b08e4-6cc9-5edc-21fe-9f56c5ef1ce0?version=1.0&amp;t=1531733117535&amp;imagePreview=1" TargetMode="External"/><Relationship Id="rId1" Type="http://schemas.openxmlformats.org/officeDocument/2006/relationships/image" Target="media/image1.jpeg"/><Relationship Id="rId4" Type="http://schemas.openxmlformats.org/officeDocument/2006/relationships/image" Target="https://www.cantabria.es/documents/28617/6414679/jubilar_vert_color.jpg/4fd3efde-f205-6ae1-ff34-c066943dd8b3?t=153173285294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E2AF30-742A-4FE0-8810-10B0A6991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3145</Words>
  <Characters>17300</Characters>
  <Application>Microsoft Office Word</Application>
  <DocSecurity>0</DocSecurity>
  <Lines>144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20405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Oria Pérez Aida Eugenia</dc:creator>
  <cp:keywords/>
  <dc:description/>
  <cp:lastModifiedBy>Pérez Aguilar Óscar Fernando</cp:lastModifiedBy>
  <cp:revision>2</cp:revision>
  <dcterms:created xsi:type="dcterms:W3CDTF">2019-04-12T08:00:00Z</dcterms:created>
  <dcterms:modified xsi:type="dcterms:W3CDTF">2019-04-12T08:00:00Z</dcterms:modified>
</cp:coreProperties>
</file>