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DC75E" w14:textId="77777777" w:rsidR="001E5C8D" w:rsidRDefault="001E5C8D" w:rsidP="001E5C8D">
      <w:pPr>
        <w:pStyle w:val="NormalWeb"/>
        <w:spacing w:after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  <w:r w:rsidRPr="00C81DD5">
        <w:rPr>
          <w:rFonts w:ascii="Arial" w:hAnsi="Arial" w:cs="Arial"/>
          <w:b/>
          <w:sz w:val="20"/>
          <w:szCs w:val="20"/>
          <w:u w:val="single"/>
        </w:rPr>
        <w:t>CUERPO TÉCNICO DE FINANZAS</w:t>
      </w:r>
    </w:p>
    <w:p w14:paraId="68265775" w14:textId="77777777" w:rsidR="001E5C8D" w:rsidRDefault="001E5C8D" w:rsidP="00312710">
      <w:pPr>
        <w:pStyle w:val="NormalWeb"/>
        <w:spacing w:after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14:paraId="21F61C71" w14:textId="77777777" w:rsidR="00312710" w:rsidRDefault="00312710" w:rsidP="00312710">
      <w:pPr>
        <w:pStyle w:val="NormalWeb"/>
        <w:spacing w:after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  <w:r w:rsidRPr="00C81DD5">
        <w:rPr>
          <w:rFonts w:ascii="Arial" w:hAnsi="Arial" w:cs="Arial"/>
          <w:b/>
          <w:sz w:val="20"/>
          <w:szCs w:val="20"/>
          <w:u w:val="single"/>
        </w:rPr>
        <w:t>ANEXO</w:t>
      </w:r>
      <w:r w:rsidR="00226A35">
        <w:rPr>
          <w:rFonts w:ascii="Arial" w:hAnsi="Arial" w:cs="Arial"/>
          <w:b/>
          <w:sz w:val="20"/>
          <w:szCs w:val="20"/>
          <w:u w:val="single"/>
        </w:rPr>
        <w:t xml:space="preserve"> I</w:t>
      </w:r>
    </w:p>
    <w:p w14:paraId="79ADD4F8" w14:textId="77777777" w:rsidR="001E5C8D" w:rsidRPr="00C81DD5" w:rsidRDefault="001E5C8D" w:rsidP="00312710">
      <w:pPr>
        <w:pStyle w:val="NormalWeb"/>
        <w:spacing w:after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14:paraId="1CD01798" w14:textId="77777777" w:rsidR="00312710" w:rsidRDefault="00312710" w:rsidP="00312710">
      <w:pPr>
        <w:pStyle w:val="NormalWeb"/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C81DD5">
        <w:rPr>
          <w:rFonts w:ascii="Arial" w:hAnsi="Arial" w:cs="Arial"/>
          <w:b/>
          <w:sz w:val="20"/>
          <w:szCs w:val="20"/>
        </w:rPr>
        <w:t xml:space="preserve">DERECHO CIVIL, DERECHO MERCANTIL Y ECONOMÍA </w:t>
      </w:r>
    </w:p>
    <w:p w14:paraId="7625F277" w14:textId="77777777" w:rsidR="001E5C8D" w:rsidRPr="00C81DD5" w:rsidRDefault="001E5C8D" w:rsidP="00312710">
      <w:pPr>
        <w:pStyle w:val="NormalWeb"/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</w:p>
    <w:p w14:paraId="28D3ADAD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concepto de persona. Clases de personas. Personas físicas: Nacimiento y extinción. Personas jurídicas: Concepto, naturaleza y clases. Constitución y extinción de las personas jurídicas. Capacidad jurídica y capacidad de obrar. Representación. Adquisición y pérdida de la nacionalidad española. El extranjero.  </w:t>
      </w:r>
    </w:p>
    <w:p w14:paraId="5BBA95CB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Los derechos reales: Concepto y clases. Diferencias entre los derechos reales y los derechos de crédito. La propiedad. Modos de adquirir y perder la propiedad. El Registro de la Propiedad. Principios hipotecarios. </w:t>
      </w:r>
    </w:p>
    <w:p w14:paraId="201185AF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posesión. El usufructo. La servidumbre. Comunidad de bienes. </w:t>
      </w:r>
    </w:p>
    <w:p w14:paraId="5B42447E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Los derechos reales de garantía: Concepto y clasificación. Hipoteca. Prenda. Hipoteca mobiliaria y prenda sin desplazamiento. Anticresis. </w:t>
      </w:r>
    </w:p>
    <w:p w14:paraId="184A7F46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Las obligaciones: Concepto y clases. Fuentes de las obligaciones. Prueba de las obligaciones. Concurrencia y prelación de créditos. Extinción de las obligaciones. Influencia del tiempo en las relaciones jurídicas.</w:t>
      </w:r>
    </w:p>
    <w:p w14:paraId="7D0170AD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contrato: Concepto y clases. Elementos de los contratos. Generación, perfección y consumación de los contratos. Ineficacia de los contratos. Interpretación y forma de los contratos. </w:t>
      </w:r>
    </w:p>
    <w:p w14:paraId="3B4C8B4B" w14:textId="1D7DDB10" w:rsidR="00312710" w:rsidRPr="004306C3" w:rsidRDefault="00312710" w:rsidP="00E37AAB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compraventa: Concepto y elementos. Contenido de la compraventa. El contrato de arrendamiento: Concepto y clases. </w:t>
      </w:r>
    </w:p>
    <w:p w14:paraId="02888C33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donación: Concepto y clases. Elementos de la donación. Efectos de la donación. Revocación y reducción de donaciones. La sucesión "mortis causa": Concepto y clases. La herencia: Concepto y situaciones en que puede encontrarse la herencia. </w:t>
      </w:r>
    </w:p>
    <w:p w14:paraId="4B772CBC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Aceptación de la herencia. Heredero y legatario. Derecho a acrecer. Colación y partición de la herencia. La sucesión testamentaria: Concepto, caracteres y clases de testamentos. Sucesión forzosa. La sucesión intestada. Desheredación. Preterición. </w:t>
      </w:r>
    </w:p>
    <w:p w14:paraId="35FC0895" w14:textId="07F4A815" w:rsidR="00312710" w:rsidRPr="004306C3" w:rsidRDefault="009E2292" w:rsidP="009E2292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La empresa mercantil. El empresario individual: Capacidad y prohibiciones. Prueba, adquisición y pérdida de la cualidad de empresario. El Registro Mercantil.</w:t>
      </w:r>
    </w:p>
    <w:p w14:paraId="20E21645" w14:textId="14B1F96F" w:rsidR="00312710" w:rsidRPr="004306C3" w:rsidRDefault="009E2292" w:rsidP="009E2292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La contabilidad mercantil. Contabilidad formal: Libros obligatorios. Requisitos de los libros. Eficacia probatoria. Comunicación y exhibición de los libros. Contabilidad material: Cuentas anuales. Verificación, auditoria y depósito de cuentas. Entidades obligadas a auditar sus cuentas.</w:t>
      </w:r>
    </w:p>
    <w:p w14:paraId="1C7D1C40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Las sociedades mercantiles: Concepto y clasificación. Requisitos de constitución de las sociedades mercantiles. La sociedad irregular. Nacionalidad de las sociedades. Las sociedades colectivas y comanditarias. La sociedad de responsabilidad limitada: Principales notas de su régimen jurídico. </w:t>
      </w:r>
    </w:p>
    <w:p w14:paraId="06B18C29" w14:textId="77777777" w:rsidR="00312710" w:rsidRPr="004306C3" w:rsidRDefault="00312710" w:rsidP="00393057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Sociedades de capital: Concepto y caracteres. Fundación. Escritura social y estatutos. Ac</w:t>
      </w:r>
      <w:r w:rsidR="00393057" w:rsidRPr="004306C3">
        <w:rPr>
          <w:rFonts w:ascii="Arial" w:hAnsi="Arial" w:cs="Arial"/>
          <w:sz w:val="20"/>
          <w:szCs w:val="20"/>
        </w:rPr>
        <w:t xml:space="preserve">ciones y obligaciones. Órganos. </w:t>
      </w:r>
      <w:r w:rsidRPr="004306C3">
        <w:rPr>
          <w:rFonts w:ascii="Arial" w:hAnsi="Arial" w:cs="Arial"/>
          <w:sz w:val="20"/>
          <w:szCs w:val="20"/>
        </w:rPr>
        <w:t xml:space="preserve">La disolución de las sociedades mercantiles. Liquidación y división. Transformación, fusión y escisión de las sociedades mercantiles. </w:t>
      </w:r>
    </w:p>
    <w:p w14:paraId="054263A5" w14:textId="78175824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Los títulos valores: Concepto y clasificación. Los títulos nominativos, a la orden, al portador y de tradición. La letra de cambio: Concepto y requisitos formales. El endoso. La aceptación. El pago de la letra. Las excepciones cambiarias. </w:t>
      </w:r>
    </w:p>
    <w:p w14:paraId="329D5D35" w14:textId="77777777" w:rsidR="00863C53" w:rsidRPr="004306C3" w:rsidRDefault="00863C53" w:rsidP="00863C53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</w:p>
    <w:p w14:paraId="09EBAE16" w14:textId="0049A6A5" w:rsidR="00312710" w:rsidRPr="004306C3" w:rsidRDefault="00312710" w:rsidP="00133433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La declaración de concurso. La Administración concursal. Los efectos</w:t>
      </w:r>
      <w:r w:rsidR="009E2292" w:rsidRPr="004306C3">
        <w:rPr>
          <w:rFonts w:ascii="Arial" w:hAnsi="Arial" w:cs="Arial"/>
          <w:sz w:val="20"/>
          <w:szCs w:val="20"/>
        </w:rPr>
        <w:t xml:space="preserve"> de la declaración de concurso</w:t>
      </w:r>
      <w:r w:rsidRPr="004306C3">
        <w:rPr>
          <w:rFonts w:ascii="Arial" w:hAnsi="Arial" w:cs="Arial"/>
          <w:sz w:val="20"/>
          <w:szCs w:val="20"/>
        </w:rPr>
        <w:t xml:space="preserve">. La calificación del concurso. </w:t>
      </w:r>
    </w:p>
    <w:p w14:paraId="31823671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lastRenderedPageBreak/>
        <w:t xml:space="preserve">La actividad económica. Sistemas económicos. Tipos de organización de la actividad económica. Funciones de un sistema económico. </w:t>
      </w:r>
    </w:p>
    <w:p w14:paraId="2CA580AC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dinero: Concepto y funciones del dinero. Demanda y oferta de dinero. Formación del tipo de interés. </w:t>
      </w:r>
    </w:p>
    <w:p w14:paraId="644619BA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sistema financiero. El Banco Central. Los Bancos comerciales. Otros intermediarios financieros.  </w:t>
      </w:r>
    </w:p>
    <w:p w14:paraId="7055ED34" w14:textId="504D3784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Teoría de la demanda. Concepto de utilidad. Curvas de indiferencia. El equilibrio del consumidor. Curvas de demanda. </w:t>
      </w:r>
    </w:p>
    <w:p w14:paraId="2B79CEAA" w14:textId="77777777" w:rsidR="00371E94" w:rsidRPr="004306C3" w:rsidRDefault="00371E94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comercio internacional. La protección arancelaria. La balanza de pagos: Concepto y estructura. El tipo de cambio. El equilibrio de la balanza de pagos.</w:t>
      </w:r>
    </w:p>
    <w:p w14:paraId="7AFA2373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Teoría de la producción. Funciones de producción. Productividad. Equilibrio de la producción. Los costes de producción. Concepto y clases. Funciones de costes. La curva de la oferta. El equilibrio de la empresa. </w:t>
      </w:r>
    </w:p>
    <w:p w14:paraId="692EEEDB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mercado: Concepto y clases. Mercados de libre concurrencia y monopolísticos. Formación del precio. Análisis de otros mercados: La competencia monopolística y el oligopolio. </w:t>
      </w:r>
    </w:p>
    <w:p w14:paraId="488E3FF8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proceso productivo. Los costes de producción: Su estructura. Los principales elementos determinantes del coste de la producción. El coste de los subproductos.</w:t>
      </w:r>
    </w:p>
    <w:p w14:paraId="1438E2F7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empresa como organización. Marco institucional. Concepto. Realidad económica y entorno. Clases de empresas y criterios de clasificación. Los objetivos de la empresa. Sistemas de dirección y gestión.  </w:t>
      </w:r>
    </w:p>
    <w:p w14:paraId="6567D759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La financiación de la estructura fija de la empresa: La autofinanciación. La función financiera de los fondos de amortizaciones. Las llamadas amortizaciones financieras o de capital. Equilibrio entre amortizaciones técnicas y amortizaciones financieras.</w:t>
      </w:r>
    </w:p>
    <w:p w14:paraId="5BBD6552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Las variaciones de la renta de la empresa: Estudio de sus causas. La comparación entre la rentabilidad esperada y la real. La rentabilidad, su medida. La rentabilidad de la empresa y el interés del capital invertido en la misma. </w:t>
      </w:r>
    </w:p>
    <w:p w14:paraId="0BE4DB86" w14:textId="77777777" w:rsidR="00312710" w:rsidRPr="004306C3" w:rsidRDefault="00312710" w:rsidP="00312710">
      <w:pPr>
        <w:pStyle w:val="NormalWeb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análisis financiero: La estructura de las fuentes de financiación. El equilibrio financiero. El control financiero. </w:t>
      </w:r>
    </w:p>
    <w:p w14:paraId="65C66A43" w14:textId="77777777" w:rsidR="001E5C8D" w:rsidRPr="004306C3" w:rsidRDefault="001E5C8D" w:rsidP="001E5C8D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</w:p>
    <w:p w14:paraId="07E76A3B" w14:textId="77777777" w:rsidR="00312710" w:rsidRPr="004306C3" w:rsidRDefault="00312710" w:rsidP="00312710">
      <w:pPr>
        <w:pStyle w:val="NormalWeb"/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b/>
          <w:sz w:val="20"/>
          <w:szCs w:val="20"/>
        </w:rPr>
        <w:t>DERECHO CONSTITUCIONAL Y ADMINISTRATIVO</w:t>
      </w:r>
    </w:p>
    <w:p w14:paraId="53E2FD66" w14:textId="77777777" w:rsidR="001E5C8D" w:rsidRPr="004306C3" w:rsidRDefault="001E5C8D" w:rsidP="00312710">
      <w:pPr>
        <w:pStyle w:val="NormalWeb"/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</w:p>
    <w:p w14:paraId="46201316" w14:textId="77777777" w:rsidR="00312710" w:rsidRPr="004306C3" w:rsidRDefault="00312710" w:rsidP="00312710">
      <w:pPr>
        <w:pStyle w:val="NormalWeb"/>
        <w:numPr>
          <w:ilvl w:val="1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Constitución Española de 1978: Características y estructura. La Corona. Las Cortes Generales. El Gobierno. El Poder Judicial. El Tribunal Constitucional. La reforma constitucional. Derechos fundamentales y libertades públicas.  </w:t>
      </w:r>
    </w:p>
    <w:p w14:paraId="57891572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La organización territorial del Estado en la Constitución. Las Comunidades Autónomas: Estructura y competencias. Los Estatutos de Autonomía: Caracteres y contenido. Referencia a la Comunidad de Cantabria.</w:t>
      </w:r>
    </w:p>
    <w:p w14:paraId="4108AA2E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Políticas Sociales Públicas: Política de igualdad de género. Ley orgánica 3/2007, de 22 de marzo, para la igualdad efectiva de hombres y mujeres. Ley Orgánica de 1/2004, de 28 de diciembre, de medidas de Protección Integral contra la violencia de género. Política en materia de igual</w:t>
      </w:r>
      <w:r w:rsidR="001E5C8D" w:rsidRPr="004306C3">
        <w:rPr>
          <w:rFonts w:ascii="Arial" w:hAnsi="Arial" w:cs="Arial"/>
          <w:sz w:val="20"/>
          <w:szCs w:val="20"/>
        </w:rPr>
        <w:t>da</w:t>
      </w:r>
      <w:r w:rsidRPr="004306C3">
        <w:rPr>
          <w:rFonts w:ascii="Arial" w:hAnsi="Arial" w:cs="Arial"/>
          <w:sz w:val="20"/>
          <w:szCs w:val="20"/>
        </w:rPr>
        <w:t>d de derechos de las personas con discapacidad: La Ley 39/2006, de 14 de diciembre, de Promoción de la autonomía personal y atención a personas en situaciones de dependencia</w:t>
      </w:r>
      <w:r w:rsidR="001E5C8D" w:rsidRPr="004306C3">
        <w:rPr>
          <w:rFonts w:ascii="Arial" w:hAnsi="Arial" w:cs="Arial"/>
          <w:sz w:val="20"/>
          <w:szCs w:val="20"/>
        </w:rPr>
        <w:t>.</w:t>
      </w:r>
      <w:r w:rsidRPr="004306C3">
        <w:rPr>
          <w:rFonts w:ascii="Arial" w:hAnsi="Arial" w:cs="Arial"/>
          <w:sz w:val="20"/>
          <w:szCs w:val="20"/>
        </w:rPr>
        <w:t xml:space="preserve">  </w:t>
      </w:r>
    </w:p>
    <w:p w14:paraId="0475728B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Las fuentes del Derecho Administrativo. La Constitución. La Ley. Disposiciones del Gobierno con fuerza de ley: Decretos-leyes y Decretos Legislativos. El Reglamento: Concepto, caracteres y clases. Límites de los reglamentos. Reglamentos ilegales. </w:t>
      </w:r>
    </w:p>
    <w:p w14:paraId="28B7EB15" w14:textId="77777777" w:rsidR="00371E94" w:rsidRPr="004306C3" w:rsidRDefault="00371E94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Concepto de Administración Pública. Creación y competencias de los órganos administrativos. Tipos de entes públicos. Formas de gestión de los servicios públicos. El principio de legalidad. La </w:t>
      </w:r>
      <w:proofErr w:type="spellStart"/>
      <w:r w:rsidRPr="004306C3">
        <w:rPr>
          <w:rFonts w:ascii="Arial" w:hAnsi="Arial" w:cs="Arial"/>
          <w:sz w:val="20"/>
          <w:szCs w:val="20"/>
        </w:rPr>
        <w:t>autotutela</w:t>
      </w:r>
      <w:proofErr w:type="spellEnd"/>
      <w:r w:rsidRPr="004306C3">
        <w:rPr>
          <w:rFonts w:ascii="Arial" w:hAnsi="Arial" w:cs="Arial"/>
          <w:sz w:val="20"/>
          <w:szCs w:val="20"/>
        </w:rPr>
        <w:t xml:space="preserve"> de la Administración. </w:t>
      </w:r>
    </w:p>
    <w:p w14:paraId="32C23B07" w14:textId="248AB367" w:rsidR="00371E94" w:rsidRPr="004306C3" w:rsidRDefault="00371E94" w:rsidP="00C32491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lastRenderedPageBreak/>
        <w:t>La Administración electrónica. Normativa reguladora. Instrumentos para el acceso electrónico a las Administraciones Públicas: sedes electrónicas, canales y punto de acceso, identificación y autenticación. El Gobierno abierto, la transparencia, el acceso a la información pública, la participación en la rendición de cuentas y el buen gobierno. Especial referencia a la Ley 1/2018, de 21 de marzo, de Transparencia de la Actividad Pública de Cantabria.</w:t>
      </w:r>
    </w:p>
    <w:p w14:paraId="12AEA40A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acto administrativo: Concepto y caracteres. Diferentes clasificaciones de los actos administrativos.</w:t>
      </w:r>
    </w:p>
    <w:p w14:paraId="50D7C922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dstrike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Elementos del acto administrativo: Sujeto, objeto, fin y forma. La motivación y comunicación de los actos administrativos. El silencio administrativo. </w:t>
      </w:r>
    </w:p>
    <w:p w14:paraId="014BEB5B" w14:textId="0097B391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Eficacia del acto administrativo. Notificación y publicación. Ejecutoriedad de los actos administrativos. Validez e invalidez del acto administrativo. Revisión de oficio de los actos administrativos. </w:t>
      </w:r>
    </w:p>
    <w:p w14:paraId="3610E2FC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responsabilidad patrimonial de la Administración Pública: Régimen vigente. Requisitos para que proceda la indemnización. Responsabilidad de las autoridades y funcionarios. Requisitos. Plazos de reclamación y procedimiento. </w:t>
      </w:r>
    </w:p>
    <w:p w14:paraId="40E0B49D" w14:textId="78113761" w:rsidR="00BA56BA" w:rsidRPr="004306C3" w:rsidRDefault="00BA56BA" w:rsidP="00204F6B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procedimiento administrativo. Los interesados. Derechos de los ciudadanos en el procedimiento administrativo. Derecho y obligación de relacionarse electrónicamente con las Administraciones Públicas.</w:t>
      </w:r>
    </w:p>
    <w:p w14:paraId="7F5852A5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Los recursos administrativos: Concepto y clases.  </w:t>
      </w:r>
    </w:p>
    <w:p w14:paraId="7A679107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jurisdicción contencioso-administrativa: naturaleza, extensión y límites. Órganos de la jurisdicción contencioso-administrativa. Las partes en el proceso contencioso-administrativo: Capacidad, legitimación y defensa. Principales aspectos del proceso contencioso-administrativo. Recursos contra sentencias. </w:t>
      </w:r>
    </w:p>
    <w:p w14:paraId="7233BAF1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Los funcionarios públicos: Concepto y clases. Situaciones de los funcionarios. Derechos y deberes. Régimen disciplinario de los funcionarios públicos. El régimen de incompatibilidades. </w:t>
      </w:r>
    </w:p>
    <w:p w14:paraId="4597A410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Instituciones de la Unión Europea: El Consejo, la Comisión, el Parlamento. El Tribunal de Justicia. El Tribunal de Cuentas. El ordenamiento jurídico comunitario y sus fuentes. </w:t>
      </w:r>
    </w:p>
    <w:p w14:paraId="657DE508" w14:textId="77777777" w:rsidR="00312710" w:rsidRPr="004306C3" w:rsidRDefault="00312710" w:rsidP="00312710">
      <w:pPr>
        <w:pStyle w:val="NormalWeb"/>
        <w:numPr>
          <w:ilvl w:val="1"/>
          <w:numId w:val="7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régimen jurídico del Patrimonio del Estado. Referencia a la Ley de Patrimonio de la Comunidad de Cantabria. </w:t>
      </w:r>
    </w:p>
    <w:p w14:paraId="29C86156" w14:textId="77777777" w:rsidR="00312710" w:rsidRPr="004306C3" w:rsidRDefault="00312710" w:rsidP="00312710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</w:p>
    <w:p w14:paraId="074AFCA2" w14:textId="19A441D9" w:rsidR="00312710" w:rsidRPr="004306C3" w:rsidRDefault="00312710" w:rsidP="00312710">
      <w:pPr>
        <w:pStyle w:val="NormalWeb"/>
        <w:spacing w:after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  <w:r w:rsidRPr="004306C3">
        <w:rPr>
          <w:rFonts w:ascii="Arial" w:hAnsi="Arial" w:cs="Arial"/>
          <w:b/>
          <w:sz w:val="20"/>
          <w:szCs w:val="20"/>
          <w:u w:val="single"/>
        </w:rPr>
        <w:t>ANEXO II</w:t>
      </w:r>
    </w:p>
    <w:p w14:paraId="4D7ED1EF" w14:textId="77777777" w:rsidR="006335DF" w:rsidRPr="004306C3" w:rsidRDefault="006335DF" w:rsidP="00312710">
      <w:pPr>
        <w:pStyle w:val="NormalWeb"/>
        <w:spacing w:after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14:paraId="62CA84E7" w14:textId="1548AF32" w:rsidR="00312710" w:rsidRPr="004306C3" w:rsidRDefault="00312710" w:rsidP="00312710">
      <w:pPr>
        <w:pStyle w:val="NormalWeb"/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b/>
          <w:sz w:val="20"/>
          <w:szCs w:val="20"/>
        </w:rPr>
        <w:t xml:space="preserve">CONTABILIDAD Y MATEMÁTICAS FINANCIERAS </w:t>
      </w:r>
    </w:p>
    <w:p w14:paraId="2075BDD3" w14:textId="77777777" w:rsidR="006335DF" w:rsidRPr="004306C3" w:rsidRDefault="006335DF" w:rsidP="00312710">
      <w:pPr>
        <w:pStyle w:val="NormalWeb"/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</w:p>
    <w:p w14:paraId="32CB0727" w14:textId="77777777" w:rsidR="006335DF" w:rsidRPr="004306C3" w:rsidRDefault="006335DF" w:rsidP="006335DF">
      <w:pPr>
        <w:pStyle w:val="NormalWeb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b/>
          <w:sz w:val="20"/>
          <w:szCs w:val="20"/>
        </w:rPr>
        <w:t>Contabilidad:</w:t>
      </w:r>
    </w:p>
    <w:p w14:paraId="31DE3AE9" w14:textId="77777777" w:rsidR="006335DF" w:rsidRPr="004306C3" w:rsidRDefault="006335DF" w:rsidP="006335DF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</w:p>
    <w:p w14:paraId="3586CB05" w14:textId="77777777" w:rsidR="006335DF" w:rsidRPr="004306C3" w:rsidRDefault="006335DF" w:rsidP="006335DF">
      <w:pPr>
        <w:pStyle w:val="NormalWeb"/>
        <w:numPr>
          <w:ilvl w:val="0"/>
          <w:numId w:val="10"/>
        </w:numPr>
        <w:spacing w:after="0" w:afterAutospacing="1"/>
        <w:ind w:left="0" w:firstLine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Contabilidad general:</w:t>
      </w:r>
    </w:p>
    <w:p w14:paraId="0F275882" w14:textId="77777777" w:rsidR="006335DF" w:rsidRPr="004306C3" w:rsidRDefault="006335DF" w:rsidP="006335DF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Plan General de Contabilidad y Normas Internacionales de Contabilidad. Operaciones del ejercicio y cálculo contable del resultado. Marco Conceptual. Normas de registro y valoración. Cuentas anuales.</w:t>
      </w:r>
    </w:p>
    <w:p w14:paraId="737B36F5" w14:textId="77777777" w:rsidR="006335DF" w:rsidRPr="004306C3" w:rsidRDefault="006335DF" w:rsidP="006335DF">
      <w:pPr>
        <w:pStyle w:val="NormalWeb"/>
        <w:numPr>
          <w:ilvl w:val="0"/>
          <w:numId w:val="10"/>
        </w:numPr>
        <w:spacing w:after="100" w:afterAutospacing="1"/>
        <w:ind w:left="0" w:hanging="11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Contabilidad de sociedades:</w:t>
      </w:r>
    </w:p>
    <w:p w14:paraId="58F85CFF" w14:textId="2551213C" w:rsidR="006335DF" w:rsidRPr="004306C3" w:rsidRDefault="006335DF" w:rsidP="006335DF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 Constitución, distribución de beneficios, aumento y reducción de capital, financiación y transformación de sociedades. Combinaciones de negocios, negocios conjuntos y operaciones entre empresas del grupo. Fusión, absorción, escisión y disolución de empresas individuales y sociales. </w:t>
      </w:r>
    </w:p>
    <w:p w14:paraId="3474B05F" w14:textId="77777777" w:rsidR="0084465A" w:rsidRPr="004306C3" w:rsidRDefault="0084465A" w:rsidP="006335DF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</w:p>
    <w:p w14:paraId="620CA1B3" w14:textId="77777777" w:rsidR="006335DF" w:rsidRPr="004306C3" w:rsidRDefault="006335DF" w:rsidP="0084465A">
      <w:pPr>
        <w:pStyle w:val="NormalWeb"/>
        <w:jc w:val="both"/>
        <w:outlineLvl w:val="0"/>
        <w:rPr>
          <w:rFonts w:ascii="Arial" w:hAnsi="Arial" w:cs="Arial"/>
          <w:strike/>
          <w:sz w:val="20"/>
          <w:szCs w:val="20"/>
        </w:rPr>
      </w:pPr>
    </w:p>
    <w:p w14:paraId="1B1E00A0" w14:textId="2BF7F206" w:rsidR="006335DF" w:rsidRPr="004306C3" w:rsidRDefault="006335DF" w:rsidP="006335DF">
      <w:pPr>
        <w:pStyle w:val="NormalWeb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b/>
          <w:sz w:val="20"/>
          <w:szCs w:val="20"/>
        </w:rPr>
        <w:t>Matemáticas financieras:</w:t>
      </w:r>
    </w:p>
    <w:p w14:paraId="690AA894" w14:textId="77777777" w:rsidR="006335DF" w:rsidRPr="004306C3" w:rsidRDefault="006335DF" w:rsidP="006335DF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Capitalización simple y compuesta.</w:t>
      </w:r>
    </w:p>
    <w:p w14:paraId="58F22748" w14:textId="77777777" w:rsidR="006335DF" w:rsidRPr="004306C3" w:rsidRDefault="006335DF" w:rsidP="006335DF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Rentas, préstamos y empréstitos.</w:t>
      </w:r>
    </w:p>
    <w:p w14:paraId="5CD9D61D" w14:textId="77777777" w:rsidR="006335DF" w:rsidRPr="004306C3" w:rsidRDefault="006335DF" w:rsidP="006335DF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Operaciones con valores mobiliarios.</w:t>
      </w:r>
    </w:p>
    <w:p w14:paraId="7FD748C1" w14:textId="77777777" w:rsidR="00226A35" w:rsidRPr="004306C3" w:rsidRDefault="00226A35" w:rsidP="00312710">
      <w:pPr>
        <w:pStyle w:val="NormalWeb"/>
        <w:spacing w:after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14:paraId="010F112C" w14:textId="77777777" w:rsidR="00312710" w:rsidRPr="004306C3" w:rsidRDefault="00312710" w:rsidP="00312710">
      <w:pPr>
        <w:pStyle w:val="NormalWeb"/>
        <w:spacing w:after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  <w:r w:rsidRPr="004306C3">
        <w:rPr>
          <w:rFonts w:ascii="Arial" w:hAnsi="Arial" w:cs="Arial"/>
          <w:b/>
          <w:sz w:val="20"/>
          <w:szCs w:val="20"/>
          <w:u w:val="single"/>
        </w:rPr>
        <w:t>ANEXO III</w:t>
      </w:r>
    </w:p>
    <w:p w14:paraId="3A127E9B" w14:textId="77777777" w:rsidR="001E5C8D" w:rsidRPr="004306C3" w:rsidRDefault="001E5C8D" w:rsidP="00312710">
      <w:pPr>
        <w:pStyle w:val="NormalWeb"/>
        <w:spacing w:after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14:paraId="728FCDEF" w14:textId="77777777" w:rsidR="00312710" w:rsidRPr="004306C3" w:rsidRDefault="00312710" w:rsidP="001E5C8D">
      <w:pPr>
        <w:pStyle w:val="NormalWeb"/>
        <w:numPr>
          <w:ilvl w:val="0"/>
          <w:numId w:val="9"/>
        </w:numPr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b/>
          <w:sz w:val="20"/>
          <w:szCs w:val="20"/>
        </w:rPr>
        <w:t>DERECHO PRESUPUESTARIO, SISTEMAS DE CONTROL Y CONTABILIDAD PÚBLICA DE LA COMUNIDAD AUTÓNOMA DE CANTABRIA</w:t>
      </w:r>
    </w:p>
    <w:p w14:paraId="11DC3606" w14:textId="77777777" w:rsidR="001E5C8D" w:rsidRPr="004306C3" w:rsidRDefault="001E5C8D" w:rsidP="001E5C8D">
      <w:pPr>
        <w:pStyle w:val="NormalWeb"/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</w:p>
    <w:p w14:paraId="481142BF" w14:textId="77777777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Los Presupuestos Generales de Cantabria (I): Elaboración, tramitación y aprobación. Estructura presupuestaria.</w:t>
      </w:r>
    </w:p>
    <w:p w14:paraId="593A6690" w14:textId="77777777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Los Presupuestos Generales de Cantabria (II). Las modificaciones presupuestarias. Su tramitación y control.</w:t>
      </w:r>
      <w:r w:rsidRPr="004306C3">
        <w:rPr>
          <w:rFonts w:ascii="Arial" w:hAnsi="Arial" w:cs="Arial"/>
          <w:dstrike/>
          <w:sz w:val="20"/>
          <w:szCs w:val="20"/>
        </w:rPr>
        <w:t xml:space="preserve"> </w:t>
      </w:r>
    </w:p>
    <w:p w14:paraId="307D7F99" w14:textId="2B4663A8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gasto público: Concepto. Principios constitucionales. Procedimiento de ejecución del gasto público.</w:t>
      </w:r>
      <w:r w:rsidR="00AF6CB6" w:rsidRPr="004306C3">
        <w:rPr>
          <w:rFonts w:ascii="Arial" w:hAnsi="Arial" w:cs="Arial"/>
          <w:sz w:val="20"/>
          <w:szCs w:val="20"/>
        </w:rPr>
        <w:t xml:space="preserve"> Referencia a los Anticipos de Caja Fija y Pagos a Justificar.</w:t>
      </w:r>
    </w:p>
    <w:p w14:paraId="5994EFE4" w14:textId="09BC5D69" w:rsidR="00312710" w:rsidRPr="004306C3" w:rsidRDefault="00312710" w:rsidP="00FC0502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Gestión de los gastos de personal en activo y de clases pasivas. La Seguridad Social de los empleados públicos. </w:t>
      </w:r>
    </w:p>
    <w:p w14:paraId="117A89B1" w14:textId="77777777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Gestión de gastos contractuales. Nacimiento de obligaciones. Cumplimiento, reconocimiento de la obligación, justificación y extinción. </w:t>
      </w:r>
    </w:p>
    <w:p w14:paraId="25010E83" w14:textId="77777777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Gestión de gastos de transferencias. Subvenciones: Concepto, naturaleza y clasificación. Procedimiento de concesión y pago. Reintegro. Infracciones administrativas en materia de subvenciones. El delito subvencional. </w:t>
      </w:r>
    </w:p>
    <w:p w14:paraId="34968ECF" w14:textId="77777777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Derecho de la Contabilidad Pública. El Plan General de Contabilidad Pública Cantabria</w:t>
      </w:r>
      <w:r w:rsidR="00AF0E4F" w:rsidRPr="004306C3">
        <w:rPr>
          <w:rFonts w:ascii="Arial" w:hAnsi="Arial" w:cs="Arial"/>
          <w:sz w:val="20"/>
          <w:szCs w:val="20"/>
        </w:rPr>
        <w:t xml:space="preserve"> y demás normativa supletoria de aplicación</w:t>
      </w:r>
      <w:r w:rsidRPr="004306C3">
        <w:rPr>
          <w:rFonts w:ascii="Arial" w:hAnsi="Arial" w:cs="Arial"/>
          <w:sz w:val="20"/>
          <w:szCs w:val="20"/>
        </w:rPr>
        <w:t>. Principios contables, cuentas anuales y normas de valoración</w:t>
      </w:r>
      <w:r w:rsidR="00AF0E4F" w:rsidRPr="004306C3">
        <w:rPr>
          <w:rFonts w:ascii="Arial" w:hAnsi="Arial" w:cs="Arial"/>
          <w:sz w:val="20"/>
          <w:szCs w:val="20"/>
        </w:rPr>
        <w:t xml:space="preserve">. </w:t>
      </w:r>
    </w:p>
    <w:p w14:paraId="0EF15F2A" w14:textId="77777777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Cuenta General de Cantabria. Documentos que integran. Formación y remisión. Examen y comprobación por Tribunal de Cuentas. Tramitación y aprobación. </w:t>
      </w:r>
    </w:p>
    <w:p w14:paraId="5CDC7811" w14:textId="47BA4B5D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Sector Público </w:t>
      </w:r>
      <w:r w:rsidR="0084465A" w:rsidRPr="004306C3">
        <w:rPr>
          <w:rFonts w:ascii="Arial" w:hAnsi="Arial" w:cs="Arial"/>
          <w:strike/>
          <w:sz w:val="20"/>
          <w:szCs w:val="20"/>
        </w:rPr>
        <w:t>estatal</w:t>
      </w:r>
      <w:r w:rsidR="0084465A" w:rsidRPr="004306C3">
        <w:rPr>
          <w:rFonts w:ascii="Arial" w:hAnsi="Arial" w:cs="Arial"/>
          <w:sz w:val="20"/>
          <w:szCs w:val="20"/>
        </w:rPr>
        <w:t xml:space="preserve"> </w:t>
      </w:r>
      <w:r w:rsidRPr="004306C3">
        <w:rPr>
          <w:rFonts w:ascii="Arial" w:hAnsi="Arial" w:cs="Arial"/>
          <w:sz w:val="20"/>
          <w:szCs w:val="20"/>
        </w:rPr>
        <w:t xml:space="preserve">autonómico de la Comunidad autónoma de Cantabria: </w:t>
      </w:r>
      <w:r w:rsidR="00AF0E4F" w:rsidRPr="004306C3">
        <w:rPr>
          <w:rFonts w:ascii="Arial" w:hAnsi="Arial" w:cs="Arial"/>
          <w:sz w:val="20"/>
          <w:szCs w:val="20"/>
        </w:rPr>
        <w:t>delimitación y principales características.</w:t>
      </w:r>
      <w:r w:rsidRPr="004306C3">
        <w:rPr>
          <w:rFonts w:ascii="Arial" w:hAnsi="Arial" w:cs="Arial"/>
          <w:sz w:val="20"/>
          <w:szCs w:val="20"/>
        </w:rPr>
        <w:t xml:space="preserve"> Las cuentas económicas del Sector Público. </w:t>
      </w:r>
    </w:p>
    <w:p w14:paraId="10F70BA8" w14:textId="77777777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control interno de la actividad económico financiera del Sector Público de la Comunidad Autónoma de Cantabria. Concepto, clases y ámbito. Derechos y deberes del personal controlador.</w:t>
      </w:r>
    </w:p>
    <w:p w14:paraId="7086D996" w14:textId="110C0E1C" w:rsidR="00AF6CB6" w:rsidRPr="004306C3" w:rsidRDefault="00AF6CB6" w:rsidP="00AF6CB6">
      <w:pPr>
        <w:pStyle w:val="NormalWeb"/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IGAC. Organización y funciones. La función interventora. Modalidades de ejercicio. Reparos. Omisión de la intervención. </w:t>
      </w:r>
      <w:r w:rsidR="00FC0502" w:rsidRPr="004306C3">
        <w:rPr>
          <w:rFonts w:ascii="Arial" w:hAnsi="Arial" w:cs="Arial"/>
          <w:sz w:val="20"/>
          <w:szCs w:val="20"/>
        </w:rPr>
        <w:t xml:space="preserve">Discrepancias. </w:t>
      </w:r>
      <w:r w:rsidRPr="004306C3">
        <w:rPr>
          <w:rFonts w:ascii="Arial" w:hAnsi="Arial" w:cs="Arial"/>
          <w:sz w:val="20"/>
          <w:szCs w:val="20"/>
        </w:rPr>
        <w:t>Comprobación material de la inversión.</w:t>
      </w:r>
    </w:p>
    <w:p w14:paraId="00563A1F" w14:textId="47867EF8" w:rsidR="00AF6CB6" w:rsidRPr="004306C3" w:rsidRDefault="00AF6CB6" w:rsidP="00AF6CB6">
      <w:pPr>
        <w:pStyle w:val="NormalWeb"/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control financiero permanente. Concepto. Regulación y principios generales. Ámbito de la aplicación. Informes de control financiero permanente. La auditoría pública. Formas de ejercicio. Plan anual de Control Financiero, Auditoría Pública y otras operaciones de control de Cantabria.</w:t>
      </w:r>
    </w:p>
    <w:p w14:paraId="070056A9" w14:textId="77777777" w:rsidR="00312710" w:rsidRPr="004306C3" w:rsidRDefault="00312710" w:rsidP="00312710">
      <w:pPr>
        <w:pStyle w:val="NormalWeb"/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control externo de la actividad económico financiera del Sector Público estatal. El control parlamentario. El control del Tribunal de Cuentas. El Tribunal de Cuentas: competencias funciones.</w:t>
      </w:r>
    </w:p>
    <w:p w14:paraId="330948FE" w14:textId="0DC1DE51" w:rsidR="001E5C8D" w:rsidRPr="004306C3" w:rsidRDefault="001E5C8D" w:rsidP="001E5C8D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</w:p>
    <w:p w14:paraId="617A8451" w14:textId="34330ECA" w:rsidR="004306C3" w:rsidRPr="004306C3" w:rsidRDefault="004306C3" w:rsidP="001E5C8D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</w:p>
    <w:p w14:paraId="25CB1C6C" w14:textId="7C0E282F" w:rsidR="004306C3" w:rsidRPr="004306C3" w:rsidRDefault="004306C3" w:rsidP="001E5C8D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</w:p>
    <w:p w14:paraId="462881D1" w14:textId="77777777" w:rsidR="004306C3" w:rsidRPr="004306C3" w:rsidRDefault="004306C3" w:rsidP="001E5C8D">
      <w:pPr>
        <w:pStyle w:val="NormalWeb"/>
        <w:spacing w:after="0"/>
        <w:jc w:val="both"/>
        <w:rPr>
          <w:rFonts w:ascii="Arial" w:hAnsi="Arial" w:cs="Arial"/>
          <w:sz w:val="20"/>
          <w:szCs w:val="20"/>
        </w:rPr>
      </w:pPr>
    </w:p>
    <w:p w14:paraId="064217F4" w14:textId="77777777" w:rsidR="00312710" w:rsidRPr="004306C3" w:rsidRDefault="00312710" w:rsidP="001E5C8D">
      <w:pPr>
        <w:pStyle w:val="NormalWeb"/>
        <w:numPr>
          <w:ilvl w:val="0"/>
          <w:numId w:val="9"/>
        </w:numPr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b/>
          <w:sz w:val="20"/>
          <w:szCs w:val="20"/>
        </w:rPr>
        <w:t>DERECHO TRIBUTARIO</w:t>
      </w:r>
    </w:p>
    <w:p w14:paraId="309D8E25" w14:textId="77777777" w:rsidR="001E5C8D" w:rsidRPr="004306C3" w:rsidRDefault="001E5C8D" w:rsidP="001E5C8D">
      <w:pPr>
        <w:pStyle w:val="NormalWeb"/>
        <w:spacing w:after="0"/>
        <w:jc w:val="both"/>
        <w:outlineLvl w:val="0"/>
        <w:rPr>
          <w:rFonts w:ascii="Arial" w:hAnsi="Arial" w:cs="Arial"/>
          <w:b/>
          <w:sz w:val="20"/>
          <w:szCs w:val="20"/>
        </w:rPr>
      </w:pPr>
    </w:p>
    <w:p w14:paraId="276300DD" w14:textId="77777777" w:rsidR="00312710" w:rsidRPr="004306C3" w:rsidRDefault="00312710" w:rsidP="00312710">
      <w:pPr>
        <w:pStyle w:val="NormalWeb"/>
        <w:numPr>
          <w:ilvl w:val="1"/>
          <w:numId w:val="8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Derecho Financiero: Concepto y contenido. La Hacienda Pública en la Constitución Española. </w:t>
      </w:r>
    </w:p>
    <w:p w14:paraId="1C24F132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Derecho Tributario: Concepto y contenido. Fuentes. La Ley General Tributaria: Principios generales. </w:t>
      </w:r>
    </w:p>
    <w:p w14:paraId="5045D142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Los Tributos: Concepto, fines y clases. La relación jurídico-tributaria. Hecho imponible. No sujeción y exención. Devengo. Prescripción. La aplicación de la norma tributaria. Interpretación, calificación e integración. La analogía. El conflicto en la aplicación de la norma tributaria. La simulación. </w:t>
      </w:r>
    </w:p>
    <w:p w14:paraId="2179BB1D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Las obligaciones tributarias: La obligación tributaria principal, la obligación tributaria de realizar pagos a cuenta, las obligaciones entre particulares, las obligaciones tributarias accesorias y formales. Las obligaciones y deberes de la Administración Tributaria. Los derechos y garantías de los obligados tributarios. Colaboración social en la aplicación de los tributos. Utilización de las nuevas tecnologías de la información. </w:t>
      </w:r>
    </w:p>
    <w:p w14:paraId="560C1981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Los obligados tributarios. Contribuyentes. Sujetos pasivos. Sucesores. Responsables solidarios y subsidiarios. Otros obligados tributarios. La capacidad de obrar. Representación. Domicilio fiscal. La declaración censal. El deber de expedir y entregar facturas de empresarios y profesionales.</w:t>
      </w:r>
    </w:p>
    <w:p w14:paraId="293B5F21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Elementos de cuantificación de la obligación tributaria principal y de la obligación de realizar pagos a cuenta. Base imponible: concepto, métodos de determinación. Base liquidable. Tipo de gravamen. Cuota tributaria. Comprobación de valores. La deuda tributaria. </w:t>
      </w:r>
    </w:p>
    <w:p w14:paraId="65BD32BA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aplicación de los tributos: Concepto y órganos competentes. La información y asistencia a los obligados tributarios. La consulta tributaria. El número de identificación fiscal. Los procedimientos administrativos en materia tributaria: Prueba, notificaciones, obligación de resolución y plazo de resolución. Las liquidaciones tributarias. </w:t>
      </w:r>
    </w:p>
    <w:p w14:paraId="65B0D854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Actuaciones y procedimientos de gestión tributaria. Iniciación. Declaraciones. Autoliquidaciones. Comunicaciones de datos. Procedimiento de devolución iniciado mediante autoliquidación, solicitud o comunicación de datos. Procedimiento iniciado mediante declaración. Procedimiento de verificación de datos. Procedimiento de comprobación de valores. Procedimiento de comprobación limitada. </w:t>
      </w:r>
    </w:p>
    <w:p w14:paraId="4C67E9B4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recaudación: Actuaciones y procedimientos. Órganos de recaudación. Extinción de las deudas: El pago y otras formas de extinción. Obligados al pago. Garantías de la deuda tributaria. Aplazamientos y fraccionamientos. </w:t>
      </w:r>
    </w:p>
    <w:p w14:paraId="497D7A67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recaudación en periodo ejecutivo. Procedimiento de apremio. Tercerías. Procedimiento frente a responsables y sucesores. </w:t>
      </w:r>
    </w:p>
    <w:p w14:paraId="6DCD9D5A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inspección de los tributos. Órganos. Funciones. Facultades. Deberes. Distintas actuaciones en el procedimiento de inspección: Obtención de información, valoración, informe y asesoramiento. El procedimiento de inspección. </w:t>
      </w:r>
      <w:r w:rsidR="00393057" w:rsidRPr="004306C3">
        <w:rPr>
          <w:rFonts w:ascii="Arial" w:hAnsi="Arial" w:cs="Arial"/>
          <w:sz w:val="20"/>
          <w:szCs w:val="20"/>
        </w:rPr>
        <w:t>Especial referencia al delito contra la hacienda pública.</w:t>
      </w:r>
    </w:p>
    <w:p w14:paraId="041A8108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revisión de los actos de carácter tributario en vía administrativa: Procedimientos especiales de revisión. El recurso de reposición. Las reclamaciones económico-administrativas: Actos impugnables. Órganos de resolución. Procedimientos. Suspensión de actos impugnados. </w:t>
      </w:r>
    </w:p>
    <w:p w14:paraId="07D4C2C9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Impuesto sobre la Renta de las Personas Físicas. Naturaleza, objeto y ámbito de aplicación. Sujeción al Impuesto. Rendimientos y ganancias y pérdidas patrimoniales. Integración y compensación de rentas: Mínimo personal y familiar. Base imponible y base liquidable. Cuota íntegra estatal y autonómica. Deducciones</w:t>
      </w:r>
      <w:r w:rsidR="00AF6CB6" w:rsidRPr="004306C3">
        <w:rPr>
          <w:rFonts w:ascii="Arial" w:hAnsi="Arial" w:cs="Arial"/>
          <w:sz w:val="20"/>
          <w:szCs w:val="20"/>
        </w:rPr>
        <w:t xml:space="preserve"> estatales y autonómicas</w:t>
      </w:r>
      <w:r w:rsidRPr="004306C3">
        <w:rPr>
          <w:rFonts w:ascii="Arial" w:hAnsi="Arial" w:cs="Arial"/>
          <w:sz w:val="20"/>
          <w:szCs w:val="20"/>
        </w:rPr>
        <w:t xml:space="preserve">. Cuota diferencial. Tributación familiar. Gestión del Impuesto: Declaraciones. Pagos a cuenta. </w:t>
      </w:r>
    </w:p>
    <w:p w14:paraId="08415950" w14:textId="0DE004E7" w:rsidR="00393057" w:rsidRPr="004306C3" w:rsidRDefault="00393057" w:rsidP="005C79F5">
      <w:pPr>
        <w:pStyle w:val="NormalWeb"/>
        <w:numPr>
          <w:ilvl w:val="1"/>
          <w:numId w:val="8"/>
        </w:numPr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lastRenderedPageBreak/>
        <w:t>El Impuesto sobre el Patrimonio. Hecho imponible. Exenciones. Sujeto pasivo. Base imponible y liquidable. La deuda tributaria. Relación con otros tributos. Gestión del impuesto.</w:t>
      </w:r>
      <w:r w:rsidR="00383053" w:rsidRPr="004306C3">
        <w:rPr>
          <w:rFonts w:ascii="Arial" w:hAnsi="Arial" w:cs="Arial"/>
          <w:sz w:val="20"/>
          <w:szCs w:val="20"/>
        </w:rPr>
        <w:t xml:space="preserve"> </w:t>
      </w:r>
      <w:r w:rsidR="007F425E" w:rsidRPr="004306C3">
        <w:rPr>
          <w:rFonts w:ascii="Arial" w:hAnsi="Arial" w:cs="Arial"/>
          <w:sz w:val="20"/>
          <w:szCs w:val="20"/>
        </w:rPr>
        <w:t xml:space="preserve">Competencias normativas de las CC.AA. </w:t>
      </w:r>
      <w:r w:rsidR="00383053" w:rsidRPr="004306C3">
        <w:rPr>
          <w:rFonts w:ascii="Arial" w:hAnsi="Arial" w:cs="Arial"/>
          <w:sz w:val="20"/>
          <w:szCs w:val="20"/>
        </w:rPr>
        <w:t>Especial referencia a la normativa de Cantabria.</w:t>
      </w:r>
    </w:p>
    <w:p w14:paraId="3D5D1AE4" w14:textId="59C4516B" w:rsidR="00312710" w:rsidRPr="004306C3" w:rsidRDefault="00312710" w:rsidP="007F425E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>El Impuesto sobre el Valor Añadido: Concepto y naturaleza. Ámbito de aplicación del impuesto. Hecho imponible y supuestos de no sujeción. Exenciones. Sujeto pasivo. Devengo. Base imponible. Tipos de gravamen. Deducciones.</w:t>
      </w:r>
      <w:r w:rsidR="007F425E" w:rsidRPr="004306C3">
        <w:rPr>
          <w:rFonts w:ascii="Arial" w:hAnsi="Arial" w:cs="Arial"/>
          <w:sz w:val="20"/>
          <w:szCs w:val="20"/>
        </w:rPr>
        <w:t xml:space="preserve"> Deslinde con el Impuesto sobre Transmisiones Patrimoniales y Actos Jurídicos Documentados.</w:t>
      </w:r>
    </w:p>
    <w:p w14:paraId="0FCFADB6" w14:textId="21C1AFD8" w:rsidR="007F425E" w:rsidRPr="004306C3" w:rsidRDefault="00312710" w:rsidP="007F425E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Impuesto sobre Transmisiones Patrimoniales y Actos Jurídicos Documentados. Hecho imponible, sujeto pasivo, base imponible, cuota tributaria y reglas especiales. </w:t>
      </w:r>
      <w:r w:rsidR="007F425E" w:rsidRPr="004306C3">
        <w:rPr>
          <w:rFonts w:ascii="Arial" w:hAnsi="Arial" w:cs="Arial"/>
          <w:sz w:val="20"/>
          <w:szCs w:val="20"/>
        </w:rPr>
        <w:t>Competencias normativas de las CC.AA. Referencia a Cantabria.</w:t>
      </w:r>
    </w:p>
    <w:p w14:paraId="43912D37" w14:textId="0789EC00" w:rsidR="007F425E" w:rsidRPr="004306C3" w:rsidRDefault="00312710" w:rsidP="007F425E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b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El Impuesto sobre Sucesiones y Donaciones. Hecho imponible. Sujeto pasivo. Base imponible. Deuda tributaria. </w:t>
      </w:r>
      <w:r w:rsidR="007F425E" w:rsidRPr="004306C3">
        <w:rPr>
          <w:rFonts w:ascii="Arial" w:hAnsi="Arial" w:cs="Arial"/>
          <w:sz w:val="20"/>
          <w:szCs w:val="20"/>
        </w:rPr>
        <w:t>Competencias normativas de las CC.AA.</w:t>
      </w:r>
    </w:p>
    <w:p w14:paraId="31320B10" w14:textId="69E62453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Las Tasas: concepto, ámbito de aplicación. Hecho imponible. Sujeto pasivo y responsables. Devengo y liquidación. Los precios públicos. </w:t>
      </w:r>
      <w:r w:rsidR="00BC5BF5" w:rsidRPr="004306C3">
        <w:rPr>
          <w:rFonts w:ascii="Arial" w:hAnsi="Arial" w:cs="Arial"/>
          <w:sz w:val="20"/>
          <w:szCs w:val="20"/>
        </w:rPr>
        <w:t>(</w:t>
      </w:r>
      <w:r w:rsidR="00BC5BF5" w:rsidRPr="004306C3">
        <w:rPr>
          <w:rFonts w:ascii="Arial" w:hAnsi="Arial" w:cs="Arial"/>
          <w:strike/>
          <w:sz w:val="20"/>
          <w:szCs w:val="20"/>
        </w:rPr>
        <w:t>Las exacciones parafiscales</w:t>
      </w:r>
      <w:r w:rsidR="00BC5BF5" w:rsidRPr="004306C3">
        <w:rPr>
          <w:rFonts w:ascii="Arial" w:hAnsi="Arial" w:cs="Arial"/>
          <w:sz w:val="20"/>
          <w:szCs w:val="20"/>
        </w:rPr>
        <w:t xml:space="preserve">.) </w:t>
      </w:r>
      <w:r w:rsidRPr="004306C3">
        <w:rPr>
          <w:rFonts w:ascii="Arial" w:hAnsi="Arial" w:cs="Arial"/>
          <w:sz w:val="20"/>
          <w:szCs w:val="20"/>
        </w:rPr>
        <w:t xml:space="preserve">Referencia a la Comunidad de Cantabria. </w:t>
      </w:r>
    </w:p>
    <w:p w14:paraId="67DF26AC" w14:textId="77777777" w:rsidR="00312710" w:rsidRPr="004306C3" w:rsidRDefault="00312710" w:rsidP="00312710">
      <w:pPr>
        <w:pStyle w:val="NormalWeb"/>
        <w:numPr>
          <w:ilvl w:val="1"/>
          <w:numId w:val="8"/>
        </w:numPr>
        <w:tabs>
          <w:tab w:val="clear" w:pos="1134"/>
          <w:tab w:val="num" w:pos="76"/>
        </w:tabs>
        <w:spacing w:after="0"/>
        <w:ind w:left="1156"/>
        <w:jc w:val="both"/>
        <w:rPr>
          <w:rFonts w:ascii="Arial" w:hAnsi="Arial" w:cs="Arial"/>
          <w:sz w:val="20"/>
          <w:szCs w:val="20"/>
        </w:rPr>
      </w:pPr>
      <w:r w:rsidRPr="004306C3">
        <w:rPr>
          <w:rFonts w:ascii="Arial" w:hAnsi="Arial" w:cs="Arial"/>
          <w:sz w:val="20"/>
          <w:szCs w:val="20"/>
        </w:rPr>
        <w:t xml:space="preserve">La financiación de las Comunidades Autónomas. Elementos principales de los tributos propios. Los tributos cedidos. Órganos y formas de relación entre las Administraciones Tributarias del Estado y de las Comunidades Autónomas. </w:t>
      </w:r>
    </w:p>
    <w:p w14:paraId="76DB87B9" w14:textId="77777777" w:rsidR="00312710" w:rsidRPr="004306C3" w:rsidRDefault="00312710" w:rsidP="00312710">
      <w:pPr>
        <w:jc w:val="both"/>
        <w:rPr>
          <w:rFonts w:ascii="Arial" w:hAnsi="Arial" w:cs="Arial"/>
        </w:rPr>
      </w:pPr>
    </w:p>
    <w:p w14:paraId="5EF2ABFB" w14:textId="77777777" w:rsidR="00312710" w:rsidRPr="004306C3" w:rsidRDefault="00312710" w:rsidP="00312710">
      <w:pPr>
        <w:jc w:val="both"/>
        <w:rPr>
          <w:rFonts w:ascii="Arial" w:hAnsi="Arial" w:cs="Arial"/>
        </w:rPr>
      </w:pPr>
    </w:p>
    <w:p w14:paraId="1EBCAC0E" w14:textId="77777777" w:rsidR="00EE26E5" w:rsidRPr="004306C3" w:rsidRDefault="00EE26E5" w:rsidP="008E66D3">
      <w:bookmarkStart w:id="0" w:name="_GoBack"/>
      <w:bookmarkEnd w:id="0"/>
    </w:p>
    <w:sectPr w:rsidR="00EE26E5" w:rsidRPr="004306C3" w:rsidSect="00BC5BF5">
      <w:headerReference w:type="default" r:id="rId8"/>
      <w:pgSz w:w="11906" w:h="16838"/>
      <w:pgMar w:top="3088" w:right="849" w:bottom="851" w:left="1134" w:header="4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A41720" w14:textId="77777777" w:rsidR="00AF6CB6" w:rsidRDefault="00AF6CB6">
      <w:r>
        <w:separator/>
      </w:r>
    </w:p>
  </w:endnote>
  <w:endnote w:type="continuationSeparator" w:id="0">
    <w:p w14:paraId="2CFB572F" w14:textId="77777777" w:rsidR="00AF6CB6" w:rsidRDefault="00AF6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 Ext Condensed Bold">
    <w:panose1 w:val="020B09020201040202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214FD4" w14:textId="77777777" w:rsidR="00AF6CB6" w:rsidRDefault="00AF6CB6">
      <w:r>
        <w:separator/>
      </w:r>
    </w:p>
  </w:footnote>
  <w:footnote w:type="continuationSeparator" w:id="0">
    <w:p w14:paraId="7DA6F554" w14:textId="77777777" w:rsidR="00AF6CB6" w:rsidRDefault="00AF6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78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5533"/>
    </w:tblGrid>
    <w:tr w:rsidR="00BC5BF5" w14:paraId="21188F65" w14:textId="77777777" w:rsidTr="00BC5BF5">
      <w:tc>
        <w:tcPr>
          <w:tcW w:w="4248" w:type="dxa"/>
        </w:tcPr>
        <w:p w14:paraId="7C80B875" w14:textId="77777777" w:rsidR="00BC5BF5" w:rsidRDefault="00BC5BF5" w:rsidP="00BC5BF5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BC5BF5" w14:paraId="5427DB5C" w14:textId="77777777" w:rsidTr="00241E5A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14:paraId="71316C8B" w14:textId="77777777" w:rsidR="00BC5BF5" w:rsidRDefault="00BC5BF5" w:rsidP="00BC5BF5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F82268">
                  <w:fldChar w:fldCharType="begin"/>
                </w:r>
                <w:r w:rsidR="00F82268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F82268">
                  <w:fldChar w:fldCharType="separate"/>
                </w:r>
                <w:r w:rsidR="004306C3">
                  <w:fldChar w:fldCharType="begin"/>
                </w:r>
                <w:r w:rsidR="004306C3">
                  <w:instrText xml:space="preserve"> </w:instrText>
                </w:r>
                <w:r w:rsidR="004306C3">
                  <w:instrText>INCLUDEPICTURE  "https://www.cantabria</w:instrText>
                </w:r>
                <w:r w:rsidR="004306C3">
                  <w:instrText>.es/documents/28617/6427995/consejeria-presidencia.jpg/507b08e4-6cc9-5edc-21fe-9f56c5ef1ce0?version=1.0&amp;t=1531733117535&amp;imagePreview=1" \* MERGEFORMATINET</w:instrText>
                </w:r>
                <w:r w:rsidR="004306C3">
                  <w:instrText xml:space="preserve"> </w:instrText>
                </w:r>
                <w:r w:rsidR="004306C3">
                  <w:fldChar w:fldCharType="separate"/>
                </w:r>
                <w:r w:rsidR="004306C3">
                  <w:pict w14:anchorId="5471D8A2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5pt;height:88.8pt">
                      <v:imagedata r:id="rId1" r:href="rId2" cropright="33883f"/>
                    </v:shape>
                  </w:pict>
                </w:r>
                <w:r w:rsidR="004306C3">
                  <w:fldChar w:fldCharType="end"/>
                </w:r>
                <w:r w:rsidR="00F82268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14:paraId="101DFD12" w14:textId="77777777" w:rsidR="00BC5BF5" w:rsidRDefault="00BC5BF5" w:rsidP="00BC5BF5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14:paraId="698256A8" w14:textId="77777777" w:rsidR="00BC5BF5" w:rsidRPr="00672DC2" w:rsidRDefault="00BC5BF5" w:rsidP="00BC5BF5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14:paraId="484350EF" w14:textId="77777777" w:rsidR="00BC5BF5" w:rsidRPr="007D7894" w:rsidRDefault="00BC5BF5" w:rsidP="00BC5BF5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14:paraId="5984BBDC" w14:textId="77777777" w:rsidR="00BC5BF5" w:rsidRPr="007D7894" w:rsidRDefault="00BC5BF5" w:rsidP="00BC5BF5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14:paraId="18173C9B" w14:textId="77777777" w:rsidR="00BC5BF5" w:rsidRDefault="00BC5BF5" w:rsidP="00BC5BF5">
          <w:pPr>
            <w:pStyle w:val="Encabezado"/>
          </w:pPr>
        </w:p>
      </w:tc>
      <w:tc>
        <w:tcPr>
          <w:tcW w:w="5533" w:type="dxa"/>
          <w:vAlign w:val="center"/>
        </w:tcPr>
        <w:p w14:paraId="4E7CB42A" w14:textId="77777777" w:rsidR="00BC5BF5" w:rsidRDefault="00BC5BF5" w:rsidP="00BC5BF5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F82268">
            <w:fldChar w:fldCharType="begin"/>
          </w:r>
          <w:r w:rsidR="00F82268">
            <w:instrText xml:space="preserve"> INCLUDEPICTURE  "https://www.cantabria.es/documents/28617/6414679/jubilar_vert_color.jpg/4fd3efde-f205-6ae1-ff34-c066943dd8b3?t=1531732852940" \* MERGEFORMATINET </w:instrText>
          </w:r>
          <w:r w:rsidR="00F82268">
            <w:fldChar w:fldCharType="separate"/>
          </w:r>
          <w:r w:rsidR="004306C3">
            <w:fldChar w:fldCharType="begin"/>
          </w:r>
          <w:r w:rsidR="004306C3">
            <w:instrText xml:space="preserve"> </w:instrText>
          </w:r>
          <w:r w:rsidR="004306C3">
            <w:instrText>INCLUDEPICTURE  "https://www.cantabria.es/documents/28617/6414679/jubilar_vert_color.jpg/4fd</w:instrText>
          </w:r>
          <w:r w:rsidR="004306C3">
            <w:instrText>3efde-f205-6ae1-ff34-c066943dd8b3?t=1531732852940" \* MERGEFORMATINET</w:instrText>
          </w:r>
          <w:r w:rsidR="004306C3">
            <w:instrText xml:space="preserve"> </w:instrText>
          </w:r>
          <w:r w:rsidR="004306C3">
            <w:fldChar w:fldCharType="separate"/>
          </w:r>
          <w:r w:rsidR="004306C3">
            <w:pict w14:anchorId="2E909A6B">
              <v:shape id="_x0000_i1026" type="#_x0000_t75" alt="" style="width:119.7pt;height:71.55pt">
                <v:imagedata r:id="rId3" r:href="rId4"/>
              </v:shape>
            </w:pict>
          </w:r>
          <w:r w:rsidR="004306C3">
            <w:fldChar w:fldCharType="end"/>
          </w:r>
          <w:r w:rsidR="00F82268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14:paraId="01E552B1" w14:textId="77777777" w:rsidR="00AF6CB6" w:rsidRDefault="00AF6CB6" w:rsidP="00F1479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F54A7"/>
    <w:multiLevelType w:val="hybridMultilevel"/>
    <w:tmpl w:val="4596DB16"/>
    <w:lvl w:ilvl="0" w:tplc="8A94CFF0">
      <w:start w:val="1"/>
      <w:numFmt w:val="decimal"/>
      <w:lvlText w:val="TEMA %1.-"/>
      <w:lvlJc w:val="left"/>
      <w:pPr>
        <w:tabs>
          <w:tab w:val="num" w:pos="1134"/>
        </w:tabs>
        <w:ind w:left="1134" w:hanging="1134"/>
      </w:pPr>
      <w:rPr>
        <w:rFonts w:ascii="Arial" w:hAnsi="Arial" w:cs="Gill Sans MT Ext Condensed Bold" w:hint="default"/>
        <w:b/>
        <w:i w:val="0"/>
        <w:sz w:val="20"/>
        <w:szCs w:val="20"/>
      </w:rPr>
    </w:lvl>
    <w:lvl w:ilvl="1" w:tplc="5230766C">
      <w:start w:val="1"/>
      <w:numFmt w:val="decimal"/>
      <w:lvlText w:val="TEMA %2.-"/>
      <w:lvlJc w:val="left"/>
      <w:pPr>
        <w:tabs>
          <w:tab w:val="num" w:pos="1134"/>
        </w:tabs>
        <w:ind w:left="1134" w:hanging="1134"/>
      </w:pPr>
      <w:rPr>
        <w:rFonts w:ascii="Arial" w:hAnsi="Arial" w:cs="Gill Sans MT Ext Condensed Bold" w:hint="default"/>
        <w:b/>
        <w:i w:val="0"/>
        <w:dstrike w:val="0"/>
        <w:sz w:val="20"/>
        <w:szCs w:val="2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B61B04"/>
    <w:multiLevelType w:val="hybridMultilevel"/>
    <w:tmpl w:val="865CEB12"/>
    <w:lvl w:ilvl="0" w:tplc="23D2A83C">
      <w:start w:val="1"/>
      <w:numFmt w:val="decimal"/>
      <w:lvlText w:val="TEMA %1.-"/>
      <w:lvlJc w:val="left"/>
      <w:pPr>
        <w:tabs>
          <w:tab w:val="num" w:pos="1134"/>
        </w:tabs>
        <w:ind w:left="1134" w:hanging="1134"/>
      </w:pPr>
      <w:rPr>
        <w:rFonts w:ascii="Arial" w:hAnsi="Arial" w:cs="Gill Sans MT Ext Condensed Bold" w:hint="default"/>
        <w:b/>
        <w:i w:val="0"/>
        <w:color w:val="auto"/>
        <w:sz w:val="20"/>
        <w:szCs w:val="20"/>
      </w:rPr>
    </w:lvl>
    <w:lvl w:ilvl="1" w:tplc="0F50CE66">
      <w:start w:val="1"/>
      <w:numFmt w:val="decimal"/>
      <w:lvlText w:val="TEMA %2.-"/>
      <w:lvlJc w:val="left"/>
      <w:pPr>
        <w:tabs>
          <w:tab w:val="num" w:pos="1134"/>
        </w:tabs>
        <w:ind w:left="1134" w:hanging="1134"/>
      </w:pPr>
      <w:rPr>
        <w:rFonts w:ascii="Arial" w:hAnsi="Arial" w:cs="Gill Sans MT Ext Condensed Bold" w:hint="default"/>
        <w:b/>
        <w:i w:val="0"/>
        <w:color w:val="auto"/>
        <w:sz w:val="20"/>
        <w:szCs w:val="2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965600"/>
    <w:multiLevelType w:val="hybridMultilevel"/>
    <w:tmpl w:val="A6465D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B03800"/>
    <w:multiLevelType w:val="multilevel"/>
    <w:tmpl w:val="39B2BA86"/>
    <w:lvl w:ilvl="0">
      <w:start w:val="1"/>
      <w:numFmt w:val="none"/>
      <w:lvlText w:val="a)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6A37F71"/>
    <w:multiLevelType w:val="hybridMultilevel"/>
    <w:tmpl w:val="E4AC2EE8"/>
    <w:lvl w:ilvl="0" w:tplc="0756C57C">
      <w:start w:val="1"/>
      <w:numFmt w:val="bullet"/>
      <w:lvlText w:val="-"/>
      <w:lvlJc w:val="left"/>
      <w:pPr>
        <w:tabs>
          <w:tab w:val="num" w:pos="1964"/>
        </w:tabs>
        <w:ind w:left="708" w:firstLine="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-687"/>
        </w:tabs>
        <w:ind w:left="-68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3"/>
        </w:tabs>
        <w:ind w:left="3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753"/>
        </w:tabs>
        <w:ind w:left="75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1473"/>
        </w:tabs>
        <w:ind w:left="147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193"/>
        </w:tabs>
        <w:ind w:left="219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2913"/>
        </w:tabs>
        <w:ind w:left="291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3633"/>
        </w:tabs>
        <w:ind w:left="363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4353"/>
        </w:tabs>
        <w:ind w:left="4353" w:hanging="360"/>
      </w:pPr>
      <w:rPr>
        <w:rFonts w:ascii="Wingdings" w:hAnsi="Wingdings" w:hint="default"/>
      </w:rPr>
    </w:lvl>
  </w:abstractNum>
  <w:abstractNum w:abstractNumId="5" w15:restartNumberingAfterBreak="0">
    <w:nsid w:val="5FE058B2"/>
    <w:multiLevelType w:val="hybridMultilevel"/>
    <w:tmpl w:val="37228612"/>
    <w:lvl w:ilvl="0" w:tplc="5FEAFDCC">
      <w:start w:val="4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3D32B5"/>
    <w:multiLevelType w:val="hybridMultilevel"/>
    <w:tmpl w:val="3452B924"/>
    <w:lvl w:ilvl="0" w:tplc="A198E0B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1D45218"/>
    <w:multiLevelType w:val="hybridMultilevel"/>
    <w:tmpl w:val="38EC114C"/>
    <w:lvl w:ilvl="0" w:tplc="EAC88EC4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B740F24"/>
    <w:multiLevelType w:val="singleLevel"/>
    <w:tmpl w:val="1B4223B0"/>
    <w:lvl w:ilvl="0">
      <w:start w:val="3"/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ascii="Times New Roman" w:hAnsi="Times New Roman" w:hint="default"/>
      </w:rPr>
    </w:lvl>
  </w:abstractNum>
  <w:abstractNum w:abstractNumId="9" w15:restartNumberingAfterBreak="0">
    <w:nsid w:val="6B8A6AB8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0"/>
  </w:num>
  <w:num w:numId="8">
    <w:abstractNumId w:val="1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433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881"/>
    <w:rsid w:val="00010C34"/>
    <w:rsid w:val="000243EB"/>
    <w:rsid w:val="00041E81"/>
    <w:rsid w:val="00042DCE"/>
    <w:rsid w:val="00043AD3"/>
    <w:rsid w:val="00044320"/>
    <w:rsid w:val="00044DB2"/>
    <w:rsid w:val="0007125D"/>
    <w:rsid w:val="0008520F"/>
    <w:rsid w:val="000A36DB"/>
    <w:rsid w:val="000B7304"/>
    <w:rsid w:val="000B7FDF"/>
    <w:rsid w:val="000C70D1"/>
    <w:rsid w:val="000E0E27"/>
    <w:rsid w:val="000F6F9E"/>
    <w:rsid w:val="00110FDD"/>
    <w:rsid w:val="00126CAC"/>
    <w:rsid w:val="00134B2B"/>
    <w:rsid w:val="00141638"/>
    <w:rsid w:val="00144857"/>
    <w:rsid w:val="00146C2E"/>
    <w:rsid w:val="00151A7B"/>
    <w:rsid w:val="00151BA3"/>
    <w:rsid w:val="001526CB"/>
    <w:rsid w:val="00166D4C"/>
    <w:rsid w:val="001A1B13"/>
    <w:rsid w:val="001D47CD"/>
    <w:rsid w:val="001E55E4"/>
    <w:rsid w:val="001E5C8D"/>
    <w:rsid w:val="001F03FC"/>
    <w:rsid w:val="00224295"/>
    <w:rsid w:val="00226A35"/>
    <w:rsid w:val="0023067E"/>
    <w:rsid w:val="00232AAA"/>
    <w:rsid w:val="0023788B"/>
    <w:rsid w:val="002452FA"/>
    <w:rsid w:val="00272174"/>
    <w:rsid w:val="002808F7"/>
    <w:rsid w:val="00297B48"/>
    <w:rsid w:val="002A2330"/>
    <w:rsid w:val="002B089A"/>
    <w:rsid w:val="002B3839"/>
    <w:rsid w:val="002C1C68"/>
    <w:rsid w:val="002C30E5"/>
    <w:rsid w:val="002D4ADE"/>
    <w:rsid w:val="002E0352"/>
    <w:rsid w:val="002E7E79"/>
    <w:rsid w:val="002F7CA0"/>
    <w:rsid w:val="00312710"/>
    <w:rsid w:val="00316ACE"/>
    <w:rsid w:val="00322915"/>
    <w:rsid w:val="0033560F"/>
    <w:rsid w:val="0035697D"/>
    <w:rsid w:val="00364AF8"/>
    <w:rsid w:val="00371E94"/>
    <w:rsid w:val="00383053"/>
    <w:rsid w:val="00393057"/>
    <w:rsid w:val="00396A5A"/>
    <w:rsid w:val="003A001B"/>
    <w:rsid w:val="003C1AFE"/>
    <w:rsid w:val="003D6899"/>
    <w:rsid w:val="003F5E3D"/>
    <w:rsid w:val="003F7446"/>
    <w:rsid w:val="00400851"/>
    <w:rsid w:val="00405A51"/>
    <w:rsid w:val="00422B53"/>
    <w:rsid w:val="004248B6"/>
    <w:rsid w:val="004306C3"/>
    <w:rsid w:val="00444181"/>
    <w:rsid w:val="00453555"/>
    <w:rsid w:val="00472B78"/>
    <w:rsid w:val="00487870"/>
    <w:rsid w:val="00494617"/>
    <w:rsid w:val="004A05B2"/>
    <w:rsid w:val="004A7826"/>
    <w:rsid w:val="004B7065"/>
    <w:rsid w:val="004F3DD6"/>
    <w:rsid w:val="004F50CC"/>
    <w:rsid w:val="004F554E"/>
    <w:rsid w:val="00524787"/>
    <w:rsid w:val="00582E0C"/>
    <w:rsid w:val="00601385"/>
    <w:rsid w:val="00606E99"/>
    <w:rsid w:val="006078D4"/>
    <w:rsid w:val="00621BC6"/>
    <w:rsid w:val="0062598F"/>
    <w:rsid w:val="00626B99"/>
    <w:rsid w:val="006335DF"/>
    <w:rsid w:val="00635275"/>
    <w:rsid w:val="0064459F"/>
    <w:rsid w:val="00651CCB"/>
    <w:rsid w:val="00662AA1"/>
    <w:rsid w:val="00663759"/>
    <w:rsid w:val="006653FA"/>
    <w:rsid w:val="00683087"/>
    <w:rsid w:val="00693565"/>
    <w:rsid w:val="006C746B"/>
    <w:rsid w:val="006D556A"/>
    <w:rsid w:val="006F0888"/>
    <w:rsid w:val="006F4CB8"/>
    <w:rsid w:val="006F6CD7"/>
    <w:rsid w:val="00705CA9"/>
    <w:rsid w:val="007108BF"/>
    <w:rsid w:val="00713807"/>
    <w:rsid w:val="007231AB"/>
    <w:rsid w:val="00725BBF"/>
    <w:rsid w:val="00732885"/>
    <w:rsid w:val="00753E3C"/>
    <w:rsid w:val="007563EE"/>
    <w:rsid w:val="00767032"/>
    <w:rsid w:val="00783F9B"/>
    <w:rsid w:val="00796299"/>
    <w:rsid w:val="0079668B"/>
    <w:rsid w:val="007B48E4"/>
    <w:rsid w:val="007D4789"/>
    <w:rsid w:val="007E1BED"/>
    <w:rsid w:val="007F135A"/>
    <w:rsid w:val="007F425E"/>
    <w:rsid w:val="008115A9"/>
    <w:rsid w:val="00813B0B"/>
    <w:rsid w:val="00820E3A"/>
    <w:rsid w:val="008239BE"/>
    <w:rsid w:val="00827A5F"/>
    <w:rsid w:val="0084465A"/>
    <w:rsid w:val="008611A2"/>
    <w:rsid w:val="00863C53"/>
    <w:rsid w:val="00872F45"/>
    <w:rsid w:val="00877FF7"/>
    <w:rsid w:val="008A2D5E"/>
    <w:rsid w:val="008A6647"/>
    <w:rsid w:val="008B120E"/>
    <w:rsid w:val="008B6EB5"/>
    <w:rsid w:val="008D1413"/>
    <w:rsid w:val="008E14DA"/>
    <w:rsid w:val="008E5D76"/>
    <w:rsid w:val="008E66D3"/>
    <w:rsid w:val="008E6D8B"/>
    <w:rsid w:val="008F0C3F"/>
    <w:rsid w:val="00911E32"/>
    <w:rsid w:val="009360F4"/>
    <w:rsid w:val="009363A8"/>
    <w:rsid w:val="00943695"/>
    <w:rsid w:val="00953198"/>
    <w:rsid w:val="009632BE"/>
    <w:rsid w:val="009A2261"/>
    <w:rsid w:val="009A4630"/>
    <w:rsid w:val="009C3604"/>
    <w:rsid w:val="009E2292"/>
    <w:rsid w:val="009F11B2"/>
    <w:rsid w:val="00A03355"/>
    <w:rsid w:val="00A36FFE"/>
    <w:rsid w:val="00A5387D"/>
    <w:rsid w:val="00A541DC"/>
    <w:rsid w:val="00A578E2"/>
    <w:rsid w:val="00A66C66"/>
    <w:rsid w:val="00A7487E"/>
    <w:rsid w:val="00A8156F"/>
    <w:rsid w:val="00A84C08"/>
    <w:rsid w:val="00AB3B27"/>
    <w:rsid w:val="00AC01A7"/>
    <w:rsid w:val="00AC0FD9"/>
    <w:rsid w:val="00AC2776"/>
    <w:rsid w:val="00AD2908"/>
    <w:rsid w:val="00AD3CAF"/>
    <w:rsid w:val="00AD5060"/>
    <w:rsid w:val="00AE432D"/>
    <w:rsid w:val="00AE6A80"/>
    <w:rsid w:val="00AF0E4F"/>
    <w:rsid w:val="00AF3015"/>
    <w:rsid w:val="00AF4FE3"/>
    <w:rsid w:val="00AF6CB6"/>
    <w:rsid w:val="00B019AE"/>
    <w:rsid w:val="00B10484"/>
    <w:rsid w:val="00B419FF"/>
    <w:rsid w:val="00B43ACE"/>
    <w:rsid w:val="00B44631"/>
    <w:rsid w:val="00B57952"/>
    <w:rsid w:val="00B8058D"/>
    <w:rsid w:val="00B90692"/>
    <w:rsid w:val="00B940D4"/>
    <w:rsid w:val="00BA1D41"/>
    <w:rsid w:val="00BA56BA"/>
    <w:rsid w:val="00BA7A50"/>
    <w:rsid w:val="00BB0838"/>
    <w:rsid w:val="00BB1B56"/>
    <w:rsid w:val="00BC207B"/>
    <w:rsid w:val="00BC4AA4"/>
    <w:rsid w:val="00BC5BF5"/>
    <w:rsid w:val="00BE1086"/>
    <w:rsid w:val="00BE7C3C"/>
    <w:rsid w:val="00C2176A"/>
    <w:rsid w:val="00C31822"/>
    <w:rsid w:val="00C52212"/>
    <w:rsid w:val="00C538EA"/>
    <w:rsid w:val="00C55372"/>
    <w:rsid w:val="00C62740"/>
    <w:rsid w:val="00C62851"/>
    <w:rsid w:val="00C81298"/>
    <w:rsid w:val="00C83E48"/>
    <w:rsid w:val="00CA17B8"/>
    <w:rsid w:val="00CA1C74"/>
    <w:rsid w:val="00CA51DA"/>
    <w:rsid w:val="00CA6B62"/>
    <w:rsid w:val="00CB4414"/>
    <w:rsid w:val="00CB799D"/>
    <w:rsid w:val="00CB7EBC"/>
    <w:rsid w:val="00CC4EC6"/>
    <w:rsid w:val="00CE0B10"/>
    <w:rsid w:val="00CE6765"/>
    <w:rsid w:val="00CF45FC"/>
    <w:rsid w:val="00CF67AC"/>
    <w:rsid w:val="00CF7633"/>
    <w:rsid w:val="00D14BA2"/>
    <w:rsid w:val="00D217D5"/>
    <w:rsid w:val="00D249C0"/>
    <w:rsid w:val="00D47545"/>
    <w:rsid w:val="00D51F80"/>
    <w:rsid w:val="00D71B4A"/>
    <w:rsid w:val="00D76826"/>
    <w:rsid w:val="00D77363"/>
    <w:rsid w:val="00D80522"/>
    <w:rsid w:val="00D849E1"/>
    <w:rsid w:val="00DC4D96"/>
    <w:rsid w:val="00DD3D0A"/>
    <w:rsid w:val="00DD49FA"/>
    <w:rsid w:val="00DE6A5A"/>
    <w:rsid w:val="00DF723B"/>
    <w:rsid w:val="00E02881"/>
    <w:rsid w:val="00E06585"/>
    <w:rsid w:val="00E132A6"/>
    <w:rsid w:val="00E15593"/>
    <w:rsid w:val="00E31A40"/>
    <w:rsid w:val="00E37E42"/>
    <w:rsid w:val="00E43B98"/>
    <w:rsid w:val="00E4479C"/>
    <w:rsid w:val="00E51E2F"/>
    <w:rsid w:val="00E668E3"/>
    <w:rsid w:val="00E73527"/>
    <w:rsid w:val="00E90CB4"/>
    <w:rsid w:val="00E97DEB"/>
    <w:rsid w:val="00EB4DC6"/>
    <w:rsid w:val="00EC44C1"/>
    <w:rsid w:val="00EC7C23"/>
    <w:rsid w:val="00ED498B"/>
    <w:rsid w:val="00ED7565"/>
    <w:rsid w:val="00EE26E5"/>
    <w:rsid w:val="00EE6BEF"/>
    <w:rsid w:val="00EF171E"/>
    <w:rsid w:val="00EF3A8F"/>
    <w:rsid w:val="00F14793"/>
    <w:rsid w:val="00F2147A"/>
    <w:rsid w:val="00F315D4"/>
    <w:rsid w:val="00F36411"/>
    <w:rsid w:val="00F36D3E"/>
    <w:rsid w:val="00F413B2"/>
    <w:rsid w:val="00F65576"/>
    <w:rsid w:val="00F74D2B"/>
    <w:rsid w:val="00F7523A"/>
    <w:rsid w:val="00F82268"/>
    <w:rsid w:val="00F850E0"/>
    <w:rsid w:val="00F90878"/>
    <w:rsid w:val="00F932B6"/>
    <w:rsid w:val="00F974D6"/>
    <w:rsid w:val="00FA06F0"/>
    <w:rsid w:val="00FA09C6"/>
    <w:rsid w:val="00FA28F4"/>
    <w:rsid w:val="00FA3F87"/>
    <w:rsid w:val="00FA5767"/>
    <w:rsid w:val="00FC0502"/>
    <w:rsid w:val="00FC109D"/>
    <w:rsid w:val="00FC1242"/>
    <w:rsid w:val="00FC6299"/>
    <w:rsid w:val="00FD05D6"/>
    <w:rsid w:val="00FD0D9F"/>
    <w:rsid w:val="00FD3C15"/>
    <w:rsid w:val="00FE6BF0"/>
    <w:rsid w:val="00FE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9"/>
    <o:shapelayout v:ext="edit">
      <o:idmap v:ext="edit" data="1"/>
    </o:shapelayout>
  </w:shapeDefaults>
  <w:decimalSymbol w:val=","/>
  <w:listSeparator w:val=";"/>
  <w14:docId w14:val="68ED9197"/>
  <w14:defaultImageDpi w14:val="300"/>
  <w15:docId w15:val="{76F7EBB3-4E51-444A-98F0-5DF33B34E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330"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rsid w:val="004B706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4B706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4B7065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Pr>
      <w:rFonts w:ascii="Arial" w:hAnsi="Arial"/>
      <w:sz w:val="12"/>
    </w:rPr>
  </w:style>
  <w:style w:type="paragraph" w:styleId="Textoindependiente3">
    <w:name w:val="Body Text 3"/>
    <w:basedOn w:val="Normal"/>
    <w:pPr>
      <w:jc w:val="both"/>
    </w:pPr>
    <w:rPr>
      <w:rFonts w:ascii="Arial" w:hAnsi="Arial"/>
      <w:sz w:val="22"/>
    </w:rPr>
  </w:style>
  <w:style w:type="paragraph" w:styleId="Textoindependiente2">
    <w:name w:val="Body Text 2"/>
    <w:basedOn w:val="Normal"/>
    <w:rsid w:val="004B7065"/>
    <w:pPr>
      <w:spacing w:after="120" w:line="480" w:lineRule="auto"/>
    </w:pPr>
  </w:style>
  <w:style w:type="paragraph" w:styleId="Sangradetextonormal">
    <w:name w:val="Body Text Indent"/>
    <w:basedOn w:val="Normal"/>
    <w:rsid w:val="004B7065"/>
    <w:pPr>
      <w:spacing w:after="120"/>
      <w:ind w:left="283"/>
    </w:pPr>
  </w:style>
  <w:style w:type="paragraph" w:styleId="Textodebloque">
    <w:name w:val="Block Text"/>
    <w:basedOn w:val="Normal"/>
    <w:rsid w:val="004B7065"/>
    <w:pPr>
      <w:tabs>
        <w:tab w:val="left" w:pos="2280"/>
        <w:tab w:val="left" w:pos="2760"/>
      </w:tabs>
      <w:ind w:left="851" w:right="936"/>
      <w:jc w:val="both"/>
    </w:pPr>
    <w:rPr>
      <w:rFonts w:ascii="Arial" w:hAnsi="Arial"/>
      <w:lang w:val="es-ES_tradnl"/>
    </w:rPr>
  </w:style>
  <w:style w:type="table" w:styleId="Tablaconcuadrcula">
    <w:name w:val="Table Grid"/>
    <w:basedOn w:val="Tablanormal"/>
    <w:uiPriority w:val="39"/>
    <w:rsid w:val="00F147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9C3604"/>
    <w:rPr>
      <w:color w:val="0000FF"/>
      <w:u w:val="single"/>
    </w:rPr>
  </w:style>
  <w:style w:type="paragraph" w:styleId="NormalWeb">
    <w:name w:val="Normal (Web)"/>
    <w:basedOn w:val="Normal"/>
    <w:rsid w:val="00312710"/>
    <w:pPr>
      <w:spacing w:before="100" w:beforeAutospacing="1" w:after="119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7F425E"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rsid w:val="00BC5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55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5793A-8612-4B92-A38D-11C82A85E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2362</Words>
  <Characters>14414</Characters>
  <Application>Microsoft Office Word</Application>
  <DocSecurity>0</DocSecurity>
  <Lines>120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 PRE/48/2006, DE 7 DE JUNIO, POR LA QUE SE APRUEBAN LAS BASES Y SE CONVOCA CONCURSO DE TRASLADOS PARA LA PROVISION DE PUESTOS DE TRABAJO VACANTES RESERVADOS A PERSONAL LABORAL EN LA CATEGORÍA PROFESIONAL DE “TÉCNICO PRÁCTICO DE CONSERVACIÓN, CONTROL</vt:lpstr>
    </vt:vector>
  </TitlesOfParts>
  <Company>Gobierno de Cantabria</Company>
  <LinksUpToDate>false</LinksUpToDate>
  <CharactersWithSpaces>16743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 PRE/48/2006, DE 7 DE JUNIO, POR LA QUE SE APRUEBAN LAS BASES Y SE CONVOCA CONCURSO DE TRASLADOS PARA LA PROVISION DE PUESTOS DE TRABAJO VACANTES RESERVADOS A PERSONAL LABORAL EN LA CATEGORÍA PROFESIONAL DE “TÉCNICO PRÁCTICO DE CONSERVACIÓN, CONTROL</dc:title>
  <dc:subject/>
  <dc:creator>copyto</dc:creator>
  <cp:keywords/>
  <dc:description/>
  <cp:lastModifiedBy>Pérez Aguilar Óscar Fernando</cp:lastModifiedBy>
  <cp:revision>2</cp:revision>
  <cp:lastPrinted>2019-02-10T16:48:00Z</cp:lastPrinted>
  <dcterms:created xsi:type="dcterms:W3CDTF">2019-04-15T08:58:00Z</dcterms:created>
  <dcterms:modified xsi:type="dcterms:W3CDTF">2019-04-15T08:58:00Z</dcterms:modified>
</cp:coreProperties>
</file>