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306" w:rsidRPr="00AE3656" w:rsidRDefault="00531306" w:rsidP="004A681E">
      <w:pPr>
        <w:pStyle w:val="Sinespaciado"/>
        <w:rPr>
          <w:rFonts w:ascii="Arial" w:hAnsi="Arial" w:cs="Arial"/>
          <w:sz w:val="20"/>
          <w:szCs w:val="20"/>
        </w:rPr>
      </w:pPr>
    </w:p>
    <w:p w:rsidR="00AF196F" w:rsidRDefault="00AF196F" w:rsidP="00AF196F">
      <w:pPr>
        <w:spacing w:after="0" w:line="240" w:lineRule="auto"/>
        <w:jc w:val="center"/>
        <w:rPr>
          <w:rFonts w:ascii="Arial" w:hAnsi="Arial" w:cs="Arial"/>
          <w:b/>
          <w:bCs/>
          <w:u w:val="single"/>
        </w:rPr>
      </w:pPr>
      <w:r>
        <w:rPr>
          <w:rFonts w:ascii="Arial" w:hAnsi="Arial" w:cs="Arial"/>
          <w:b/>
          <w:bCs/>
          <w:u w:val="single"/>
        </w:rPr>
        <w:t>ANEXO I</w:t>
      </w:r>
    </w:p>
    <w:p w:rsidR="00AF196F" w:rsidRDefault="00AF196F" w:rsidP="00AF196F">
      <w:pPr>
        <w:spacing w:after="0" w:line="240" w:lineRule="auto"/>
        <w:jc w:val="center"/>
        <w:rPr>
          <w:rFonts w:ascii="Arial" w:hAnsi="Arial" w:cs="Arial"/>
          <w:b/>
          <w:bCs/>
          <w:u w:val="single"/>
        </w:rPr>
      </w:pPr>
    </w:p>
    <w:p w:rsidR="00AF196F" w:rsidRDefault="00AF196F" w:rsidP="00AF196F">
      <w:pPr>
        <w:spacing w:after="0" w:line="240" w:lineRule="auto"/>
        <w:jc w:val="center"/>
        <w:rPr>
          <w:rFonts w:ascii="Arial" w:hAnsi="Arial" w:cs="Arial"/>
          <w:b/>
          <w:bCs/>
          <w:u w:val="single"/>
        </w:rPr>
      </w:pPr>
      <w:r w:rsidRPr="003506E3">
        <w:rPr>
          <w:rFonts w:ascii="Arial" w:hAnsi="Arial" w:cs="Arial"/>
          <w:b/>
          <w:bCs/>
          <w:u w:val="single"/>
        </w:rPr>
        <w:t xml:space="preserve">CUERPO FACULTATIVO SUPERIOR </w:t>
      </w:r>
    </w:p>
    <w:p w:rsidR="00AF196F" w:rsidRDefault="00AF196F" w:rsidP="00AF196F">
      <w:pPr>
        <w:spacing w:after="0" w:line="240" w:lineRule="auto"/>
        <w:jc w:val="center"/>
        <w:rPr>
          <w:rFonts w:ascii="Arial" w:hAnsi="Arial" w:cs="Arial"/>
          <w:b/>
          <w:bCs/>
          <w:u w:val="single"/>
        </w:rPr>
      </w:pPr>
    </w:p>
    <w:p w:rsidR="00AF196F" w:rsidRPr="003506E3" w:rsidRDefault="00AF196F" w:rsidP="00AF196F">
      <w:pPr>
        <w:spacing w:after="0" w:line="240" w:lineRule="auto"/>
        <w:jc w:val="center"/>
        <w:rPr>
          <w:rFonts w:ascii="Arial" w:hAnsi="Arial" w:cs="Arial"/>
          <w:b/>
          <w:bCs/>
          <w:u w:val="single"/>
        </w:rPr>
      </w:pPr>
      <w:r>
        <w:rPr>
          <w:rFonts w:ascii="Arial" w:hAnsi="Arial" w:cs="Arial"/>
          <w:b/>
          <w:bCs/>
          <w:u w:val="single"/>
        </w:rPr>
        <w:t>CAPITÁN DE LA MARINA MERCANTE</w:t>
      </w:r>
    </w:p>
    <w:p w:rsidR="00AF196F" w:rsidRDefault="00AF196F" w:rsidP="00AF196F">
      <w:pPr>
        <w:spacing w:after="0" w:line="240" w:lineRule="auto"/>
        <w:jc w:val="center"/>
        <w:rPr>
          <w:rFonts w:ascii="Arial" w:hAnsi="Arial" w:cs="Arial"/>
          <w:b/>
          <w:bCs/>
          <w:u w:val="single"/>
        </w:rPr>
      </w:pPr>
    </w:p>
    <w:p w:rsidR="00AF196F" w:rsidRPr="003506E3" w:rsidRDefault="00AF196F" w:rsidP="00AF196F">
      <w:pPr>
        <w:spacing w:after="0" w:line="240" w:lineRule="auto"/>
        <w:jc w:val="center"/>
        <w:rPr>
          <w:rFonts w:ascii="Arial" w:hAnsi="Arial" w:cs="Arial"/>
          <w:b/>
          <w:bCs/>
          <w:u w:val="single"/>
        </w:rPr>
      </w:pPr>
      <w:r w:rsidRPr="003506E3">
        <w:rPr>
          <w:rFonts w:ascii="Arial" w:hAnsi="Arial" w:cs="Arial"/>
          <w:b/>
          <w:bCs/>
          <w:u w:val="single"/>
        </w:rPr>
        <w:t>MATERIAS ESPECÍFICAS</w:t>
      </w:r>
    </w:p>
    <w:p w:rsidR="00AA7166" w:rsidRPr="00AE3656" w:rsidRDefault="00AA7166" w:rsidP="004A681E">
      <w:pPr>
        <w:autoSpaceDE w:val="0"/>
        <w:autoSpaceDN w:val="0"/>
        <w:adjustRightInd w:val="0"/>
        <w:spacing w:after="0" w:line="240" w:lineRule="auto"/>
        <w:jc w:val="both"/>
        <w:rPr>
          <w:rFonts w:ascii="Arial" w:hAnsi="Arial" w:cs="Arial"/>
          <w:sz w:val="20"/>
          <w:szCs w:val="20"/>
        </w:rPr>
      </w:pPr>
    </w:p>
    <w:p w:rsidR="00AA7166" w:rsidRPr="00AE3656" w:rsidRDefault="00AA7166" w:rsidP="004A681E">
      <w:pPr>
        <w:autoSpaceDE w:val="0"/>
        <w:autoSpaceDN w:val="0"/>
        <w:adjustRightInd w:val="0"/>
        <w:spacing w:after="0" w:line="240" w:lineRule="auto"/>
        <w:jc w:val="both"/>
        <w:rPr>
          <w:rFonts w:ascii="Arial" w:hAnsi="Arial" w:cs="Arial"/>
          <w:sz w:val="20"/>
          <w:szCs w:val="20"/>
        </w:rPr>
      </w:pPr>
    </w:p>
    <w:p w:rsidR="006D70BC" w:rsidRPr="004251F5" w:rsidRDefault="00B12323" w:rsidP="00AF196F">
      <w:pPr>
        <w:tabs>
          <w:tab w:val="num" w:pos="1247"/>
        </w:tabs>
        <w:spacing w:after="120" w:line="240" w:lineRule="auto"/>
        <w:ind w:left="1247" w:hanging="1247"/>
        <w:jc w:val="both"/>
        <w:outlineLvl w:val="0"/>
        <w:rPr>
          <w:rFonts w:ascii="Arial" w:hAnsi="Arial" w:cs="Arial"/>
          <w:b/>
          <w:sz w:val="20"/>
          <w:szCs w:val="20"/>
          <w:u w:val="single"/>
        </w:rPr>
      </w:pPr>
      <w:r w:rsidRPr="004251F5">
        <w:rPr>
          <w:rFonts w:ascii="Arial" w:hAnsi="Arial" w:cs="Arial"/>
          <w:b/>
          <w:sz w:val="20"/>
          <w:szCs w:val="20"/>
          <w:u w:val="single"/>
        </w:rPr>
        <w:t>BLOQUE</w:t>
      </w:r>
      <w:r w:rsidR="00AF196F" w:rsidRPr="004251F5">
        <w:rPr>
          <w:rFonts w:ascii="Arial" w:hAnsi="Arial" w:cs="Arial"/>
          <w:b/>
          <w:sz w:val="20"/>
          <w:szCs w:val="20"/>
          <w:u w:val="single"/>
        </w:rPr>
        <w:t xml:space="preserve"> I: LEGISLACIÓ</w:t>
      </w:r>
      <w:r w:rsidR="006D70BC" w:rsidRPr="004251F5">
        <w:rPr>
          <w:rFonts w:ascii="Arial" w:hAnsi="Arial" w:cs="Arial"/>
          <w:b/>
          <w:sz w:val="20"/>
          <w:szCs w:val="20"/>
          <w:u w:val="single"/>
        </w:rPr>
        <w:t>N</w:t>
      </w:r>
    </w:p>
    <w:p w:rsidR="003567C2" w:rsidRPr="00AF196F" w:rsidRDefault="003567C2" w:rsidP="00AF196F">
      <w:pPr>
        <w:tabs>
          <w:tab w:val="num" w:pos="1247"/>
        </w:tabs>
        <w:spacing w:after="120" w:line="240" w:lineRule="auto"/>
        <w:ind w:left="1247" w:hanging="1247"/>
        <w:jc w:val="both"/>
        <w:outlineLvl w:val="0"/>
        <w:rPr>
          <w:rFonts w:ascii="Arial" w:hAnsi="Arial" w:cs="Arial"/>
          <w:b/>
          <w:sz w:val="24"/>
          <w:szCs w:val="24"/>
          <w:u w:val="single"/>
        </w:rPr>
      </w:pPr>
    </w:p>
    <w:p w:rsidR="008F6B63" w:rsidRPr="003567C2" w:rsidRDefault="008F6B63"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3567C2">
        <w:rPr>
          <w:rFonts w:ascii="Arial" w:hAnsi="Arial" w:cs="Arial"/>
          <w:sz w:val="20"/>
          <w:szCs w:val="20"/>
        </w:rPr>
        <w:t>Convenio de Formación, Titulación y Guardia</w:t>
      </w:r>
      <w:r w:rsidR="00685683" w:rsidRPr="003567C2">
        <w:rPr>
          <w:rFonts w:ascii="Arial" w:hAnsi="Arial" w:cs="Arial"/>
          <w:sz w:val="20"/>
          <w:szCs w:val="20"/>
        </w:rPr>
        <w:t xml:space="preserve"> </w:t>
      </w:r>
      <w:r w:rsidRPr="003567C2">
        <w:rPr>
          <w:rFonts w:ascii="Arial" w:hAnsi="Arial" w:cs="Arial"/>
          <w:sz w:val="20"/>
          <w:szCs w:val="20"/>
        </w:rPr>
        <w:t>p</w:t>
      </w:r>
      <w:r w:rsidR="00AA7166" w:rsidRPr="003567C2">
        <w:rPr>
          <w:rFonts w:ascii="Arial" w:hAnsi="Arial" w:cs="Arial"/>
          <w:sz w:val="20"/>
          <w:szCs w:val="20"/>
        </w:rPr>
        <w:t>ara la gente de mar</w:t>
      </w:r>
      <w:r w:rsidR="002E5D9D" w:rsidRPr="003567C2">
        <w:rPr>
          <w:rFonts w:ascii="Arial" w:hAnsi="Arial" w:cs="Arial"/>
          <w:sz w:val="20"/>
          <w:szCs w:val="20"/>
        </w:rPr>
        <w:t xml:space="preserve">, 1978 (STCW). Articulado y Enmiendas de Manila de 2010 al anexo del Convenio STCW: Disposiciones generales, El capitán y la sección de puente, Sección de máquinas, Servicio de radiocomunicaciones y </w:t>
      </w:r>
      <w:proofErr w:type="spellStart"/>
      <w:r w:rsidR="002E5D9D" w:rsidRPr="003567C2">
        <w:rPr>
          <w:rFonts w:ascii="Arial" w:hAnsi="Arial" w:cs="Arial"/>
          <w:sz w:val="20"/>
          <w:szCs w:val="20"/>
        </w:rPr>
        <w:t>radiooperadores</w:t>
      </w:r>
      <w:proofErr w:type="spellEnd"/>
      <w:r w:rsidR="002E5D9D" w:rsidRPr="003567C2">
        <w:rPr>
          <w:rFonts w:ascii="Arial" w:hAnsi="Arial" w:cs="Arial"/>
          <w:sz w:val="20"/>
          <w:szCs w:val="20"/>
        </w:rPr>
        <w:t>, Requisitos especiales de formación para el personal de determinados tipos de buques, Funciones de emergencia, seguridad en el trabajo, protección, atención médica y supervivencia, Titulación alternativa y Guardias.</w:t>
      </w:r>
    </w:p>
    <w:p w:rsidR="002A3061" w:rsidRPr="00FA7414" w:rsidRDefault="002A3061"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Convenio Internacional sobre Normas de Formación, Titulación y Guardia para el </w:t>
      </w:r>
      <w:r w:rsidR="0038774C" w:rsidRPr="00FA7414">
        <w:rPr>
          <w:rFonts w:ascii="Arial" w:hAnsi="Arial" w:cs="Arial"/>
          <w:sz w:val="20"/>
          <w:szCs w:val="20"/>
        </w:rPr>
        <w:t>p</w:t>
      </w:r>
      <w:r w:rsidRPr="00FA7414">
        <w:rPr>
          <w:rFonts w:ascii="Arial" w:hAnsi="Arial" w:cs="Arial"/>
          <w:sz w:val="20"/>
          <w:szCs w:val="20"/>
        </w:rPr>
        <w:t>ersonal de los buques pesqueros (STCW-F)</w:t>
      </w:r>
      <w:r w:rsidR="009042CB" w:rsidRPr="00FA7414">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973/2009, de 12 de junio, por el que se regulan las titulaciones profesionales de la marina mercante: Disposiciones Generales. Títulos profesionales de la marina mercante: Patrón Portuario, Operador General del Sistema Mundial de Socorro y Seguridad Marítima, Operador Restringido del Sistema Mundial de Socorro y Seguridad Marít</w:t>
      </w:r>
      <w:r w:rsidR="00060A6D" w:rsidRPr="00FA7414">
        <w:rPr>
          <w:rFonts w:ascii="Arial" w:hAnsi="Arial" w:cs="Arial"/>
          <w:sz w:val="20"/>
          <w:szCs w:val="20"/>
        </w:rPr>
        <w:t>ima. Requisitos de formación.</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Orden FOM/2296/2002 de 4 de septiembre de regulación de programas de formación de títulos profesionales y certificados de especialidad: completa excepto artículo 2, articulo 3, anexo I.1, anexo I.2 y anexo I.3 – Resolución de 18 de junio de 2013 de la DGMM por la que se modifica la Orden FOM/2296/2002 - Resolución de 21 de septiembre de 2016 de DGMM sobre cursos de revalidación conforme a STCW – Resolución de 2 de febrero de 2017 de DGMM sobre la revalidación de certificados de suficiencia del convenio STCW</w:t>
      </w:r>
      <w:r w:rsidR="003567C2">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Orden FOM/2296/2002 de 4 de septiembre de regulación de programas de formación de títulos profesionales y certificados de especialidad: artículos 2 y 3 y anexo I.1, I.2 y I.3 –Resolución de 14 de noviembre de 2016, de la Dirección General de la Marina Mercante, por la que se determinan las condiciones de obtención de los certificados de suficiencia de los marineros de la Marina Mercante.</w:t>
      </w:r>
    </w:p>
    <w:p w:rsidR="00894641" w:rsidRPr="00FA7414" w:rsidRDefault="00894641"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36/2014, de 24 de enero, por el que se regulan los títulos profesionales del sector pesquero – Orden APM/243/2018 de 7 de marzo de desarrollo del RD 36/2014</w:t>
      </w:r>
      <w:r w:rsidR="009042CB" w:rsidRPr="00FA7414">
        <w:rPr>
          <w:rFonts w:ascii="Arial" w:hAnsi="Arial" w:cs="Arial"/>
          <w:sz w:val="20"/>
          <w:szCs w:val="20"/>
        </w:rPr>
        <w:t>.</w:t>
      </w:r>
    </w:p>
    <w:p w:rsidR="008168A8" w:rsidRPr="00FA7414" w:rsidRDefault="008168A8"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Organismos Públicos marítimos: Administración Marítima – Sociedad Estatal de Salvamento y Seguridad Marítima – Organización Marítima Internacional – organización Internacional del Trabajo – Unión Internacional de Telecomunicaciones – Agencia Europea de Seguridad Marítima</w:t>
      </w:r>
      <w:r w:rsidR="009042CB" w:rsidRPr="00FA7414">
        <w:rPr>
          <w:rFonts w:ascii="Arial" w:hAnsi="Arial" w:cs="Arial"/>
          <w:sz w:val="20"/>
          <w:szCs w:val="20"/>
        </w:rPr>
        <w:t>.</w:t>
      </w:r>
    </w:p>
    <w:p w:rsidR="00DD1932" w:rsidRPr="00FA7414" w:rsidRDefault="00DD1932"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Navegación de recreo y deportiva: Real Decreto 875/2014, de 10 de octubre, por el que se regulan las titulaciones náuticas para el gobierno de las embarcaciones de recreo: Disposiciones generales, Titulaciones de recreo, Procedimiento y pruebas para la obtención de los títulos</w:t>
      </w:r>
      <w:r w:rsidR="00B1478D" w:rsidRPr="00FA7414">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Texto Refundido de la Ley de Puertos del Estado y de la Marin</w:t>
      </w:r>
      <w:bookmarkStart w:id="0" w:name="_GoBack"/>
      <w:bookmarkEnd w:id="0"/>
      <w:r w:rsidRPr="00FA7414">
        <w:rPr>
          <w:rFonts w:ascii="Arial" w:hAnsi="Arial" w:cs="Arial"/>
          <w:sz w:val="20"/>
          <w:szCs w:val="20"/>
        </w:rPr>
        <w:t>a Mercante (TRLPEMM), aprobado por Real Decreto Legislativo 2/2011, de 5 de septiembre: Disposiciones generales (Título preliminar): Objeto de la ley, Puertos y Marina Mercante. Marina Mercante</w:t>
      </w:r>
      <w:r w:rsidR="00BF5793" w:rsidRPr="00FA7414">
        <w:rPr>
          <w:rFonts w:ascii="Arial" w:hAnsi="Arial" w:cs="Arial"/>
          <w:sz w:val="20"/>
          <w:szCs w:val="20"/>
        </w:rPr>
        <w:t xml:space="preserve"> </w:t>
      </w:r>
      <w:r w:rsidR="00EA0725" w:rsidRPr="00FA7414">
        <w:rPr>
          <w:rFonts w:ascii="Arial" w:hAnsi="Arial" w:cs="Arial"/>
          <w:sz w:val="20"/>
          <w:szCs w:val="20"/>
        </w:rPr>
        <w:t xml:space="preserve">– </w:t>
      </w:r>
      <w:r w:rsidRPr="00FA7414">
        <w:rPr>
          <w:rFonts w:ascii="Arial" w:hAnsi="Arial" w:cs="Arial"/>
          <w:sz w:val="20"/>
          <w:szCs w:val="20"/>
        </w:rPr>
        <w:t>Explotación naviera y régimen de las navegaciones</w:t>
      </w:r>
      <w:r w:rsidR="00EA0725" w:rsidRPr="00FA7414">
        <w:rPr>
          <w:rFonts w:ascii="Arial" w:hAnsi="Arial" w:cs="Arial"/>
          <w:sz w:val="20"/>
          <w:szCs w:val="20"/>
        </w:rPr>
        <w:t xml:space="preserve"> (Libro segundo):</w:t>
      </w:r>
      <w:r w:rsidR="00BF5793" w:rsidRPr="00FA7414">
        <w:rPr>
          <w:rFonts w:ascii="Arial" w:hAnsi="Arial" w:cs="Arial"/>
          <w:sz w:val="20"/>
          <w:szCs w:val="20"/>
        </w:rPr>
        <w:t xml:space="preserve"> Buques y empresas navieras</w:t>
      </w:r>
      <w:r w:rsidR="00EA0725" w:rsidRPr="00FA7414">
        <w:rPr>
          <w:rFonts w:ascii="Arial" w:hAnsi="Arial" w:cs="Arial"/>
          <w:sz w:val="20"/>
          <w:szCs w:val="20"/>
        </w:rPr>
        <w:t xml:space="preserve"> -</w:t>
      </w:r>
      <w:r w:rsidRPr="00FA7414">
        <w:rPr>
          <w:rFonts w:ascii="Arial" w:hAnsi="Arial" w:cs="Arial"/>
          <w:sz w:val="20"/>
          <w:szCs w:val="20"/>
        </w:rPr>
        <w:t xml:space="preserve"> Régimen de policía (Libro tercero): Reglamento de explotación y policía de puertos del Estado, Funciones de policía especial y Medidas que garantizan la actividad portuaria y la navegación.</w:t>
      </w:r>
    </w:p>
    <w:p w:rsidR="008F6B63" w:rsidRPr="00FA7414" w:rsidRDefault="008F6B63"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Los espacios marítimos en el Derecho del</w:t>
      </w:r>
      <w:r w:rsidR="00685683" w:rsidRPr="00FA7414">
        <w:rPr>
          <w:rFonts w:ascii="Arial" w:hAnsi="Arial" w:cs="Arial"/>
          <w:sz w:val="20"/>
          <w:szCs w:val="20"/>
        </w:rPr>
        <w:t xml:space="preserve"> </w:t>
      </w:r>
      <w:r w:rsidRPr="00FA7414">
        <w:rPr>
          <w:rFonts w:ascii="Arial" w:hAnsi="Arial" w:cs="Arial"/>
          <w:sz w:val="20"/>
          <w:szCs w:val="20"/>
        </w:rPr>
        <w:t>Mar. Espacios marítimos de Superficie: Aguas interiores</w:t>
      </w:r>
      <w:r w:rsidR="002A3061" w:rsidRPr="00FA7414">
        <w:rPr>
          <w:rFonts w:ascii="Arial" w:hAnsi="Arial" w:cs="Arial"/>
          <w:sz w:val="20"/>
          <w:szCs w:val="20"/>
        </w:rPr>
        <w:t xml:space="preserve"> </w:t>
      </w:r>
      <w:r w:rsidR="00B1478D" w:rsidRPr="00FA7414">
        <w:rPr>
          <w:rFonts w:ascii="Arial" w:hAnsi="Arial" w:cs="Arial"/>
          <w:sz w:val="20"/>
          <w:szCs w:val="20"/>
        </w:rPr>
        <w:t>- Mar Territorial - Alta Mar</w:t>
      </w:r>
      <w:r w:rsidR="003567C2">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14/2014, de 24 de julio, de Navegación Marítima (LNM): Disposiciones generales (Título preliminar). Ordenación administrativa de la navegación (Título I): Ámbito de aplicación de las normas de policía, Régimen de estancia en aguas interiores marítimas y en puerto, Régimen general de navegación marítima, Derecho de paso inocente por el mar territorial, Derecho de persecución y de visita y Buques de Estado extranjeros. Vehículos de la navegación (Título II): Buques, embarcaciones y artefactos navales, Documentación de los buques nacionales y Seguridad de los buques y de las sociedades de clasificación. Sujetos de la navegación (Título III): Armador, Condominio naval y Dotación.</w:t>
      </w:r>
    </w:p>
    <w:p w:rsidR="00DD1932" w:rsidRPr="00FA7414" w:rsidRDefault="00DD1932"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14/2014, de 24 de julio, de Navegación Marítima. Contratos de utilización del buque (Título IV): Contrato de arrendamiento de buque, Contrato de fletamento, Contrato de pasaje, Contrato de remolque y Contrato de arrendamiento náutico. Contratos auxiliares de la navegación (Título V): Contrato de gestión naval, Contrato de consignación de buques, Contrato de practicaje y Contrato de manipulación portuaria.</w:t>
      </w:r>
    </w:p>
    <w:p w:rsidR="00DD1932" w:rsidRPr="00FA7414" w:rsidRDefault="00DD1932"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14/2014, de 24 de julio, de Navegación Marítima. Accidentes de la navegación (Título VI): Abordaje, Avería gruesa, Salvamento, Bienes naufragados o hundidos y Responsabilidad civil por contaminación. Limitación de la responsabilidad (Título VII): Disposiciones generales, créditos limitables, sumas máximas de indemnización y fondo de limitación. Contrato de seguro marítimo (Título VIII): Disposiciones generales, disposiciones comunes a los distintos tipos de seguro marítimo y disposiciones especiales de algunas clases de seguros.</w:t>
      </w:r>
    </w:p>
    <w:p w:rsidR="009042CB" w:rsidRPr="00FA7414"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3/2001, de 26 de marzo, de Pesca Marítima del Estado. Título preliminar; Objeto y fines de la Ley. Título I, De la pesca marítima en aguas exteriores. Capítulo I, Ámbito de aplicación. Capítulo III, Medidas de protección y regeneración de los recursos pesqueros. Reservas marinas; zonas de acondicionamiento marino; zonas de repoblación marina. Capítulo IV, Gestión de las actividades pesqueras. Secciones 1ª a 4ª. Capítulo VI, Control e inspección de la actividad de pesca marítima.</w:t>
      </w:r>
    </w:p>
    <w:p w:rsidR="009042CB" w:rsidRPr="00FA7414"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3/2001, de 26 de marzo, de Pesca Marítima del Estado. Título II, Ordenación del sector pesquero: Capítulo I, Principios generales. Capítulo II, Los agentes del sector pesquero. Secciones 1ª a 4ª. Capítulo III, De la flota pesquera. Artículo 57, Registro general de la flota pesquera. Capítulo IV, Establecimiento de puertos base y cambios de base.</w:t>
      </w:r>
    </w:p>
    <w:p w:rsidR="009042CB" w:rsidRPr="00FA7414"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3/2001, de 26 de marzo, de Pesca Marítima del Estado. Título V, Infracciones y sanciones: Capítulo I, Objeto y principios generales. Capítulo II, De las infracciones administrativas en materia de pesca marítima en aguas exteriores. Capítulo III, Infracciones en materia de ordenación del sector pesquero y de la comercialización de productos pesqueros.</w:t>
      </w:r>
      <w:r w:rsidR="008F2480" w:rsidRPr="00FA7414">
        <w:rPr>
          <w:rFonts w:ascii="Arial" w:hAnsi="Arial" w:cs="Arial"/>
          <w:sz w:val="20"/>
          <w:szCs w:val="20"/>
        </w:rPr>
        <w:t xml:space="preserve"> Capítulo IV, De las sanciones.</w:t>
      </w:r>
      <w:r w:rsidRPr="00FA7414">
        <w:rPr>
          <w:rFonts w:ascii="Arial" w:hAnsi="Arial" w:cs="Arial"/>
          <w:sz w:val="20"/>
          <w:szCs w:val="20"/>
        </w:rPr>
        <w:t xml:space="preserve"> artículos 105 y 106.</w:t>
      </w:r>
    </w:p>
    <w:p w:rsidR="009042CB" w:rsidRPr="00FA7414"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de Cantabria 7/1997, de 30 de diciembre, de medidas fiscales y administrativas. Título II, Medidas administrativas: Capítulo I, Infracciones y sanciones en materia de pesca.</w:t>
      </w:r>
    </w:p>
    <w:p w:rsidR="009042CB" w:rsidRPr="00FA7414"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Orden de 29 de junio de 2001, por la que se regula la pesca marítima profesional dentro de aguas interiores.</w:t>
      </w:r>
    </w:p>
    <w:p w:rsidR="009042CB" w:rsidRDefault="009042C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Orden de 14 de octubre de 1997, por la que se aprueban las normas de seguridad para el ejercicio de las actividades subacuáticas: Capítulo I, Disposiciones generales. Artículos 1 y 2. Capítulo II, Buceo profesional. Artículos 4, 5, 6, 11, 12, 14, 15,16, 17, 19 y 20.</w:t>
      </w:r>
    </w:p>
    <w:p w:rsidR="003567C2" w:rsidRDefault="003567C2" w:rsidP="003567C2">
      <w:pPr>
        <w:spacing w:after="120" w:line="240" w:lineRule="auto"/>
        <w:jc w:val="both"/>
        <w:outlineLvl w:val="0"/>
        <w:rPr>
          <w:rFonts w:ascii="Arial" w:hAnsi="Arial" w:cs="Arial"/>
          <w:sz w:val="20"/>
          <w:szCs w:val="20"/>
        </w:rPr>
      </w:pPr>
    </w:p>
    <w:p w:rsidR="009042CB" w:rsidRPr="003567C2" w:rsidRDefault="0044481C" w:rsidP="003567C2">
      <w:pPr>
        <w:spacing w:after="120" w:line="240" w:lineRule="auto"/>
        <w:jc w:val="both"/>
        <w:outlineLvl w:val="0"/>
        <w:rPr>
          <w:rFonts w:ascii="Arial" w:hAnsi="Arial" w:cs="Arial"/>
          <w:b/>
          <w:sz w:val="20"/>
          <w:szCs w:val="20"/>
          <w:u w:val="single"/>
        </w:rPr>
      </w:pPr>
      <w:r w:rsidRPr="003567C2">
        <w:rPr>
          <w:rFonts w:ascii="Arial" w:hAnsi="Arial" w:cs="Arial"/>
          <w:b/>
          <w:sz w:val="20"/>
          <w:szCs w:val="20"/>
          <w:u w:val="single"/>
        </w:rPr>
        <w:t>BLOQUE</w:t>
      </w:r>
      <w:r w:rsidR="006D70BC" w:rsidRPr="003567C2">
        <w:rPr>
          <w:rFonts w:ascii="Arial" w:hAnsi="Arial" w:cs="Arial"/>
          <w:b/>
          <w:sz w:val="20"/>
          <w:szCs w:val="20"/>
          <w:u w:val="single"/>
        </w:rPr>
        <w:t xml:space="preserve"> II: TECNOLOGÍA MARINA Y NAVAL</w:t>
      </w:r>
    </w:p>
    <w:p w:rsidR="003567C2" w:rsidRPr="00FA7414" w:rsidRDefault="003567C2" w:rsidP="003567C2">
      <w:pPr>
        <w:spacing w:after="120" w:line="240" w:lineRule="auto"/>
        <w:jc w:val="both"/>
        <w:outlineLvl w:val="0"/>
        <w:rPr>
          <w:rFonts w:ascii="Arial" w:hAnsi="Arial" w:cs="Arial"/>
          <w:sz w:val="20"/>
          <w:szCs w:val="20"/>
        </w:rPr>
      </w:pPr>
    </w:p>
    <w:p w:rsidR="00507760" w:rsidRPr="00FA7414" w:rsidRDefault="00507760"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Ley 31/1995, de 8 de noviembre, de prevención de Riesgos Laborales: Capítulo I, Objeto, ámbit</w:t>
      </w:r>
      <w:r w:rsidR="008F2480" w:rsidRPr="00FA7414">
        <w:rPr>
          <w:rFonts w:ascii="Arial" w:hAnsi="Arial" w:cs="Arial"/>
          <w:sz w:val="20"/>
          <w:szCs w:val="20"/>
        </w:rPr>
        <w:t>o de aplicación y definiciones.</w:t>
      </w:r>
      <w:r w:rsidRPr="00FA7414">
        <w:rPr>
          <w:rFonts w:ascii="Arial" w:hAnsi="Arial" w:cs="Arial"/>
          <w:sz w:val="20"/>
          <w:szCs w:val="20"/>
        </w:rPr>
        <w:t xml:space="preserve"> Artículos 2 y 3. Capítulo II, Política en materia de prevención de riesgos para proteger la seguridad y la salud en el trabajo. Artículos 8, 9 y 13. Capítulo III, Derechos y obligaciones.- Artículos 15, 16, 17, 18, 19 y 29. Capítulo IV, Servicios de prevención.- Artículo 32 bis, Presencia de los recursos preventivos.</w:t>
      </w:r>
    </w:p>
    <w:p w:rsidR="00507760" w:rsidRPr="00FA7414" w:rsidRDefault="00507760"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773/1997, de 30 de mayo, sobre disposiciones mínimas de seguridad y salud relativas a la utilización por los trabajadores de equipos de protección individual: Artículos 1 a 10. En relación a los anexos I y II del presente Real Decreto, qué equipos de protección individual y en qué situaciones relacionadas con las actividades propias del sector marítimo en general, en trabajos portuarios y en la reparación y construcción de buques son necesarios equipos de protección individual</w:t>
      </w:r>
      <w:r w:rsidR="003567C2">
        <w:rPr>
          <w:rFonts w:ascii="Arial" w:hAnsi="Arial" w:cs="Arial"/>
          <w:sz w:val="20"/>
          <w:szCs w:val="20"/>
        </w:rPr>
        <w:t>.</w:t>
      </w:r>
    </w:p>
    <w:p w:rsidR="00507760" w:rsidRPr="00FA7414" w:rsidRDefault="00507760"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1215/1997, de 18 de julio, por el que se establecen las disposiciones mínimas de seguridad y salud para la utilización por los trabajadores de los equipos de trabajo: Artículos 1 a 6. Anexo I, Disposiciones mínimas aplicables a los equipos de trabajo. Anexo II, Disposiciones relativas a la utilización de los equipos de trabajo.</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1216/1997, de 18 de julio, por el que se establecen las disposiciones mínimas de seguridad y salud en el trabajo a bordo de los buques de pesca</w:t>
      </w:r>
      <w:r w:rsidR="003567C2">
        <w:rPr>
          <w:rFonts w:ascii="Arial" w:hAnsi="Arial" w:cs="Arial"/>
          <w:sz w:val="20"/>
          <w:szCs w:val="20"/>
        </w:rPr>
        <w:t>.</w:t>
      </w:r>
      <w:r w:rsidR="00507760" w:rsidRPr="00FA7414">
        <w:rPr>
          <w:rFonts w:ascii="Arial" w:hAnsi="Arial" w:cs="Arial"/>
          <w:sz w:val="20"/>
          <w:szCs w:val="20"/>
        </w:rPr>
        <w:t xml:space="preserve"> </w:t>
      </w:r>
    </w:p>
    <w:p w:rsidR="0028064B" w:rsidRPr="00FA7414" w:rsidRDefault="0028064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Riesgos profesionales: Daños derivados del trabajo: Concepto de peligro y riesgo. Accidentes de trabajo. – Investigación de accidentes como técnica preventiva. - Análisis y evaluación general del riesgo de accidentes. - Enfermedad profesional y otras patologías derivadas del trabajo. – Prevención y protección. – Tipos de técnicas de prevención.</w:t>
      </w:r>
    </w:p>
    <w:p w:rsidR="00507760" w:rsidRPr="00FA7414" w:rsidRDefault="0028064B"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Normas de señalización en seguridad. - Protección colectiva e individual. – Planes de emergencia y autoprotección. - Equipos de primera intervención.</w:t>
      </w:r>
    </w:p>
    <w:p w:rsidR="00363B61"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Esfera terrestre</w:t>
      </w:r>
      <w:r w:rsidR="00363B61" w:rsidRPr="00FA7414">
        <w:rPr>
          <w:rFonts w:ascii="Arial" w:hAnsi="Arial" w:cs="Arial"/>
          <w:sz w:val="20"/>
          <w:szCs w:val="20"/>
        </w:rPr>
        <w:t>:  Principales elementos, coordenadas. Definición de ejes, polos, ecuador, meridianos, paralelos,</w:t>
      </w:r>
      <w:r w:rsidR="00FB6E14" w:rsidRPr="00FA7414">
        <w:rPr>
          <w:rFonts w:ascii="Arial" w:hAnsi="Arial" w:cs="Arial"/>
          <w:sz w:val="20"/>
          <w:szCs w:val="20"/>
        </w:rPr>
        <w:t xml:space="preserve"> </w:t>
      </w:r>
      <w:r w:rsidR="00363B61" w:rsidRPr="00FA7414">
        <w:rPr>
          <w:rFonts w:ascii="Arial" w:hAnsi="Arial" w:cs="Arial"/>
          <w:sz w:val="20"/>
          <w:szCs w:val="20"/>
        </w:rPr>
        <w:t>trópicos,</w:t>
      </w:r>
      <w:r w:rsidR="00FB6E14" w:rsidRPr="00FA7414">
        <w:rPr>
          <w:rFonts w:ascii="Arial" w:hAnsi="Arial" w:cs="Arial"/>
          <w:sz w:val="20"/>
          <w:szCs w:val="20"/>
        </w:rPr>
        <w:t xml:space="preserve"> </w:t>
      </w:r>
      <w:r w:rsidR="00363B61" w:rsidRPr="00FA7414">
        <w:rPr>
          <w:rFonts w:ascii="Arial" w:hAnsi="Arial" w:cs="Arial"/>
          <w:sz w:val="20"/>
          <w:szCs w:val="20"/>
        </w:rPr>
        <w:t>c</w:t>
      </w:r>
      <w:r w:rsidR="008F2480" w:rsidRPr="00FA7414">
        <w:rPr>
          <w:rFonts w:ascii="Arial" w:hAnsi="Arial" w:cs="Arial"/>
          <w:sz w:val="20"/>
          <w:szCs w:val="20"/>
        </w:rPr>
        <w:t>í</w:t>
      </w:r>
      <w:r w:rsidR="00363B61" w:rsidRPr="00FA7414">
        <w:rPr>
          <w:rFonts w:ascii="Arial" w:hAnsi="Arial" w:cs="Arial"/>
          <w:sz w:val="20"/>
          <w:szCs w:val="20"/>
        </w:rPr>
        <w:t>rculos polares. Meridiano cero y meridiano</w:t>
      </w:r>
      <w:r w:rsidRPr="00FA7414">
        <w:rPr>
          <w:rFonts w:ascii="Arial" w:hAnsi="Arial" w:cs="Arial"/>
          <w:sz w:val="20"/>
          <w:szCs w:val="20"/>
        </w:rPr>
        <w:t xml:space="preserve"> del lugar</w:t>
      </w:r>
      <w:r w:rsidR="00AE3656" w:rsidRPr="00FA7414">
        <w:rPr>
          <w:rFonts w:ascii="Arial" w:hAnsi="Arial" w:cs="Arial"/>
          <w:sz w:val="20"/>
          <w:szCs w:val="20"/>
        </w:rPr>
        <w:t>:</w:t>
      </w:r>
      <w:r w:rsidRPr="00FA7414">
        <w:rPr>
          <w:rFonts w:ascii="Arial" w:hAnsi="Arial" w:cs="Arial"/>
          <w:sz w:val="20"/>
          <w:szCs w:val="20"/>
        </w:rPr>
        <w:t xml:space="preserve"> Latitud y longitud. Magnetismo: La Aguja Magnética, la corrección total y formas de calcularla,</w:t>
      </w:r>
      <w:r w:rsidR="00FB6E14" w:rsidRPr="00FA7414">
        <w:rPr>
          <w:rFonts w:ascii="Arial" w:hAnsi="Arial" w:cs="Arial"/>
          <w:sz w:val="20"/>
          <w:szCs w:val="20"/>
        </w:rPr>
        <w:t xml:space="preserve"> </w:t>
      </w:r>
      <w:r w:rsidRPr="00FA7414">
        <w:rPr>
          <w:rFonts w:ascii="Arial" w:hAnsi="Arial" w:cs="Arial"/>
          <w:sz w:val="20"/>
          <w:szCs w:val="20"/>
        </w:rPr>
        <w:t xml:space="preserve">declinación </w:t>
      </w:r>
      <w:r w:rsidR="00AE3656" w:rsidRPr="00FA7414">
        <w:rPr>
          <w:rFonts w:ascii="Arial" w:hAnsi="Arial" w:cs="Arial"/>
          <w:sz w:val="20"/>
          <w:szCs w:val="20"/>
        </w:rPr>
        <w:t>magnética, el</w:t>
      </w:r>
      <w:r w:rsidRPr="00FA7414">
        <w:rPr>
          <w:rFonts w:ascii="Arial" w:hAnsi="Arial" w:cs="Arial"/>
          <w:sz w:val="20"/>
          <w:szCs w:val="20"/>
        </w:rPr>
        <w:t xml:space="preserve"> </w:t>
      </w:r>
      <w:r w:rsidR="0037018F" w:rsidRPr="00FA7414">
        <w:rPr>
          <w:rFonts w:ascii="Arial" w:hAnsi="Arial" w:cs="Arial"/>
          <w:sz w:val="20"/>
          <w:szCs w:val="20"/>
        </w:rPr>
        <w:t>desvío</w:t>
      </w:r>
      <w:r w:rsidRPr="00FA7414">
        <w:rPr>
          <w:rFonts w:ascii="Arial" w:hAnsi="Arial" w:cs="Arial"/>
          <w:sz w:val="20"/>
          <w:szCs w:val="20"/>
        </w:rPr>
        <w:t>.</w:t>
      </w:r>
    </w:p>
    <w:p w:rsidR="00363B61" w:rsidRPr="00FA7414" w:rsidRDefault="00FB6E14"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Navegación costera</w:t>
      </w:r>
      <w:r w:rsidR="00363B61" w:rsidRPr="00FA7414">
        <w:rPr>
          <w:rFonts w:ascii="Arial" w:hAnsi="Arial" w:cs="Arial"/>
          <w:sz w:val="20"/>
          <w:szCs w:val="20"/>
        </w:rPr>
        <w:t>:</w:t>
      </w:r>
      <w:r w:rsidR="005E3015" w:rsidRPr="00FA7414">
        <w:rPr>
          <w:rFonts w:ascii="Arial" w:hAnsi="Arial" w:cs="Arial"/>
          <w:sz w:val="20"/>
          <w:szCs w:val="20"/>
        </w:rPr>
        <w:t xml:space="preserve"> F</w:t>
      </w:r>
      <w:r w:rsidR="00363B61" w:rsidRPr="00FA7414">
        <w:rPr>
          <w:rFonts w:ascii="Arial" w:hAnsi="Arial" w:cs="Arial"/>
          <w:sz w:val="20"/>
          <w:szCs w:val="20"/>
        </w:rPr>
        <w:t>ormas de contar los rumbos, tipos de rumbo, clases de rumbo, abatimiento, deriva, marcación, demora. Formas de obtener una posición tomando como referencia la costa.</w:t>
      </w:r>
      <w:r w:rsidRPr="00FA7414">
        <w:rPr>
          <w:rFonts w:ascii="Arial" w:hAnsi="Arial" w:cs="Arial"/>
          <w:sz w:val="20"/>
          <w:szCs w:val="20"/>
        </w:rPr>
        <w:t xml:space="preserve"> Loxodrómica: </w:t>
      </w:r>
      <w:r w:rsidR="005E3015" w:rsidRPr="00FA7414">
        <w:rPr>
          <w:rFonts w:ascii="Arial" w:hAnsi="Arial" w:cs="Arial"/>
          <w:sz w:val="20"/>
          <w:szCs w:val="20"/>
        </w:rPr>
        <w:t xml:space="preserve">La loxodrómica en la carta </w:t>
      </w:r>
      <w:proofErr w:type="spellStart"/>
      <w:r w:rsidR="005E3015" w:rsidRPr="00FA7414">
        <w:rPr>
          <w:rFonts w:ascii="Arial" w:hAnsi="Arial" w:cs="Arial"/>
          <w:sz w:val="20"/>
          <w:szCs w:val="20"/>
        </w:rPr>
        <w:t>mercatoriana</w:t>
      </w:r>
      <w:proofErr w:type="spellEnd"/>
      <w:r w:rsidR="005E3015" w:rsidRPr="00FA7414">
        <w:rPr>
          <w:rFonts w:ascii="Arial" w:hAnsi="Arial" w:cs="Arial"/>
          <w:sz w:val="20"/>
          <w:szCs w:val="20"/>
        </w:rPr>
        <w:t>. Dada una situación de salida y una de llegada</w:t>
      </w:r>
      <w:r w:rsidRPr="00FA7414">
        <w:rPr>
          <w:rFonts w:ascii="Arial" w:hAnsi="Arial" w:cs="Arial"/>
          <w:sz w:val="20"/>
          <w:szCs w:val="20"/>
        </w:rPr>
        <w:t>, cá</w:t>
      </w:r>
      <w:r w:rsidR="005E3015" w:rsidRPr="00FA7414">
        <w:rPr>
          <w:rFonts w:ascii="Arial" w:hAnsi="Arial" w:cs="Arial"/>
          <w:sz w:val="20"/>
          <w:szCs w:val="20"/>
        </w:rPr>
        <w:t>lculo del rumbo y distancia ortodrómicos. Cálculo de una situación de llegada partiendo de una situación de salida y un rumbo y distancia. Calculo analítico de la estima. Casos particulares.</w:t>
      </w:r>
    </w:p>
    <w:p w:rsidR="00363B61"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Navegación con Radar</w:t>
      </w:r>
      <w:r w:rsidR="00363B61" w:rsidRPr="00FA7414">
        <w:rPr>
          <w:rFonts w:ascii="Arial" w:hAnsi="Arial" w:cs="Arial"/>
          <w:sz w:val="20"/>
          <w:szCs w:val="20"/>
        </w:rPr>
        <w:t>: Qu</w:t>
      </w:r>
      <w:r w:rsidR="00AE3656" w:rsidRPr="00FA7414">
        <w:rPr>
          <w:rFonts w:ascii="Arial" w:hAnsi="Arial" w:cs="Arial"/>
          <w:sz w:val="20"/>
          <w:szCs w:val="20"/>
        </w:rPr>
        <w:t>é</w:t>
      </w:r>
      <w:r w:rsidR="00363B61" w:rsidRPr="00FA7414">
        <w:rPr>
          <w:rFonts w:ascii="Arial" w:hAnsi="Arial" w:cs="Arial"/>
          <w:sz w:val="20"/>
          <w:szCs w:val="20"/>
        </w:rPr>
        <w:t xml:space="preserve"> es y para </w:t>
      </w:r>
      <w:r w:rsidR="00AE3656" w:rsidRPr="00FA7414">
        <w:rPr>
          <w:rFonts w:ascii="Arial" w:hAnsi="Arial" w:cs="Arial"/>
          <w:sz w:val="20"/>
          <w:szCs w:val="20"/>
        </w:rPr>
        <w:t>qué</w:t>
      </w:r>
      <w:r w:rsidR="00FB6E14" w:rsidRPr="00FA7414">
        <w:rPr>
          <w:rFonts w:ascii="Arial" w:hAnsi="Arial" w:cs="Arial"/>
          <w:sz w:val="20"/>
          <w:szCs w:val="20"/>
        </w:rPr>
        <w:t xml:space="preserve"> </w:t>
      </w:r>
      <w:r w:rsidR="00363B61" w:rsidRPr="00FA7414">
        <w:rPr>
          <w:rFonts w:ascii="Arial" w:hAnsi="Arial" w:cs="Arial"/>
          <w:sz w:val="20"/>
          <w:szCs w:val="20"/>
        </w:rPr>
        <w:t>sirve,</w:t>
      </w:r>
      <w:r w:rsidR="00FB6E14" w:rsidRPr="00FA7414">
        <w:rPr>
          <w:rFonts w:ascii="Arial" w:hAnsi="Arial" w:cs="Arial"/>
          <w:sz w:val="20"/>
          <w:szCs w:val="20"/>
        </w:rPr>
        <w:t xml:space="preserve"> </w:t>
      </w:r>
      <w:r w:rsidR="00363B61" w:rsidRPr="00FA7414">
        <w:rPr>
          <w:rFonts w:ascii="Arial" w:hAnsi="Arial" w:cs="Arial"/>
          <w:sz w:val="20"/>
          <w:szCs w:val="20"/>
        </w:rPr>
        <w:t>Funciones básicas del Radar en navegación, Definición de Radar, Unidades físicas que componen el radar, Ajustes necesarios para una óptima visualización, modos de presentación de la pantalla. Limitaciones del Radar</w:t>
      </w:r>
      <w:r w:rsidR="00FB6E14" w:rsidRPr="00FA7414">
        <w:rPr>
          <w:rFonts w:ascii="Arial" w:hAnsi="Arial" w:cs="Arial"/>
          <w:sz w:val="20"/>
          <w:szCs w:val="20"/>
        </w:rPr>
        <w:t>.</w:t>
      </w:r>
      <w:r w:rsidR="00363B61" w:rsidRPr="00FA7414">
        <w:rPr>
          <w:rFonts w:ascii="Arial" w:hAnsi="Arial" w:cs="Arial"/>
          <w:sz w:val="20"/>
          <w:szCs w:val="20"/>
        </w:rPr>
        <w:t xml:space="preserve"> </w:t>
      </w:r>
    </w:p>
    <w:p w:rsidR="00363B61" w:rsidRPr="00FA7414" w:rsidRDefault="00363B61"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AIS: </w:t>
      </w:r>
      <w:r w:rsidR="00AE3656" w:rsidRPr="00FA7414">
        <w:rPr>
          <w:rFonts w:ascii="Arial" w:hAnsi="Arial" w:cs="Arial"/>
          <w:sz w:val="20"/>
          <w:szCs w:val="20"/>
        </w:rPr>
        <w:t>Qué</w:t>
      </w:r>
      <w:r w:rsidRPr="00FA7414">
        <w:rPr>
          <w:rFonts w:ascii="Arial" w:hAnsi="Arial" w:cs="Arial"/>
          <w:sz w:val="20"/>
          <w:szCs w:val="20"/>
        </w:rPr>
        <w:t xml:space="preserve"> es y para </w:t>
      </w:r>
      <w:r w:rsidR="00AE3656" w:rsidRPr="00FA7414">
        <w:rPr>
          <w:rFonts w:ascii="Arial" w:hAnsi="Arial" w:cs="Arial"/>
          <w:sz w:val="20"/>
          <w:szCs w:val="20"/>
        </w:rPr>
        <w:t>qué</w:t>
      </w:r>
      <w:r w:rsidRPr="00FA7414">
        <w:rPr>
          <w:rFonts w:ascii="Arial" w:hAnsi="Arial" w:cs="Arial"/>
          <w:sz w:val="20"/>
          <w:szCs w:val="20"/>
        </w:rPr>
        <w:t xml:space="preserve"> sirve, Información que proporciona. Tipos, Obligatoriedad, ventajas e inconvenientes c</w:t>
      </w:r>
      <w:r w:rsidR="00FB6E14" w:rsidRPr="00FA7414">
        <w:rPr>
          <w:rFonts w:ascii="Arial" w:hAnsi="Arial" w:cs="Arial"/>
          <w:sz w:val="20"/>
          <w:szCs w:val="20"/>
        </w:rPr>
        <w:t>on respecto al Radar. Corredera</w:t>
      </w:r>
      <w:r w:rsidRPr="00FA7414">
        <w:rPr>
          <w:rFonts w:ascii="Arial" w:hAnsi="Arial" w:cs="Arial"/>
          <w:sz w:val="20"/>
          <w:szCs w:val="20"/>
        </w:rPr>
        <w:t>: evolución y tipos. Principios de funcionamiento de los principales tipos de corredera.</w:t>
      </w:r>
      <w:r w:rsidR="0028064B" w:rsidRPr="00FA7414">
        <w:rPr>
          <w:rFonts w:ascii="Arial" w:hAnsi="Arial" w:cs="Arial"/>
          <w:sz w:val="20"/>
          <w:szCs w:val="20"/>
        </w:rPr>
        <w:t xml:space="preserve"> </w:t>
      </w:r>
      <w:r w:rsidR="005E3015" w:rsidRPr="00FA7414">
        <w:rPr>
          <w:rFonts w:ascii="Arial" w:hAnsi="Arial" w:cs="Arial"/>
          <w:sz w:val="20"/>
          <w:szCs w:val="20"/>
        </w:rPr>
        <w:t xml:space="preserve">Normas de funcionamiento </w:t>
      </w:r>
      <w:r w:rsidRPr="00FA7414">
        <w:rPr>
          <w:rFonts w:ascii="Arial" w:hAnsi="Arial" w:cs="Arial"/>
          <w:sz w:val="20"/>
          <w:szCs w:val="20"/>
        </w:rPr>
        <w:lastRenderedPageBreak/>
        <w:t>instalación a bordo.</w:t>
      </w:r>
      <w:r w:rsidR="005E3015" w:rsidRPr="00FA7414">
        <w:rPr>
          <w:rFonts w:ascii="Arial" w:hAnsi="Arial" w:cs="Arial"/>
          <w:sz w:val="20"/>
          <w:szCs w:val="20"/>
        </w:rPr>
        <w:t xml:space="preserve"> </w:t>
      </w:r>
      <w:r w:rsidRPr="00FA7414">
        <w:rPr>
          <w:rFonts w:ascii="Arial" w:hAnsi="Arial" w:cs="Arial"/>
          <w:sz w:val="20"/>
          <w:szCs w:val="20"/>
        </w:rPr>
        <w:t xml:space="preserve">Coeficiente de corredera.    </w:t>
      </w:r>
      <w:r w:rsidR="00FB6E14" w:rsidRPr="00FA7414">
        <w:rPr>
          <w:rFonts w:ascii="Arial" w:hAnsi="Arial" w:cs="Arial"/>
          <w:sz w:val="20"/>
          <w:szCs w:val="20"/>
        </w:rPr>
        <w:t>Ecosondas y Sonares</w:t>
      </w:r>
      <w:r w:rsidRPr="00FA7414">
        <w:rPr>
          <w:rFonts w:ascii="Arial" w:hAnsi="Arial" w:cs="Arial"/>
          <w:sz w:val="20"/>
          <w:szCs w:val="20"/>
        </w:rPr>
        <w:t xml:space="preserve">: Evolución y tipos. Principios de fundamento, mandos y controles, normas de </w:t>
      </w:r>
      <w:r w:rsidR="00AE3656" w:rsidRPr="00FA7414">
        <w:rPr>
          <w:rFonts w:ascii="Arial" w:hAnsi="Arial" w:cs="Arial"/>
          <w:sz w:val="20"/>
          <w:szCs w:val="20"/>
        </w:rPr>
        <w:t>funcionamiento.</w:t>
      </w:r>
      <w:r w:rsidRPr="00FA7414">
        <w:rPr>
          <w:rFonts w:ascii="Arial" w:hAnsi="Arial" w:cs="Arial"/>
          <w:sz w:val="20"/>
          <w:szCs w:val="20"/>
        </w:rPr>
        <w:t xml:space="preserve"> Ajustes </w:t>
      </w:r>
      <w:r w:rsidR="00FB6E14" w:rsidRPr="00FA7414">
        <w:rPr>
          <w:rFonts w:ascii="Arial" w:hAnsi="Arial" w:cs="Arial"/>
          <w:sz w:val="20"/>
          <w:szCs w:val="20"/>
        </w:rPr>
        <w:t>y</w:t>
      </w:r>
      <w:r w:rsidRPr="00FA7414">
        <w:rPr>
          <w:rFonts w:ascii="Arial" w:hAnsi="Arial" w:cs="Arial"/>
          <w:sz w:val="20"/>
          <w:szCs w:val="20"/>
        </w:rPr>
        <w:t xml:space="preserve"> errores.</w:t>
      </w:r>
    </w:p>
    <w:p w:rsidR="00363B61"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Sistemas de navegación por satélite</w:t>
      </w:r>
      <w:r w:rsidR="00363B61" w:rsidRPr="00FA7414">
        <w:rPr>
          <w:rFonts w:ascii="Arial" w:hAnsi="Arial" w:cs="Arial"/>
          <w:sz w:val="20"/>
          <w:szCs w:val="20"/>
        </w:rPr>
        <w:t>:  GPS y DGPS, fundamentos, descripción, receptores, precisión, errores.</w:t>
      </w:r>
      <w:r w:rsidR="00FB6E14" w:rsidRPr="00FA7414">
        <w:rPr>
          <w:rFonts w:ascii="Arial" w:hAnsi="Arial" w:cs="Arial"/>
          <w:sz w:val="20"/>
          <w:szCs w:val="20"/>
        </w:rPr>
        <w:t xml:space="preserve"> </w:t>
      </w:r>
      <w:r w:rsidR="00363B61" w:rsidRPr="00FA7414">
        <w:rPr>
          <w:rFonts w:ascii="Arial" w:hAnsi="Arial" w:cs="Arial"/>
          <w:sz w:val="20"/>
          <w:szCs w:val="20"/>
        </w:rPr>
        <w:t>Sistema Galileo</w:t>
      </w:r>
      <w:r w:rsidR="00AE3656" w:rsidRPr="00FA7414">
        <w:rPr>
          <w:rFonts w:ascii="Arial" w:hAnsi="Arial" w:cs="Arial"/>
          <w:sz w:val="20"/>
          <w:szCs w:val="20"/>
        </w:rPr>
        <w:t>.</w:t>
      </w:r>
      <w:r w:rsidR="00FB6E14" w:rsidRPr="00FA7414">
        <w:rPr>
          <w:rFonts w:ascii="Arial" w:hAnsi="Arial" w:cs="Arial"/>
          <w:sz w:val="20"/>
          <w:szCs w:val="20"/>
        </w:rPr>
        <w:t xml:space="preserve"> </w:t>
      </w:r>
      <w:r w:rsidR="00AE3656" w:rsidRPr="00FA7414">
        <w:rPr>
          <w:rFonts w:ascii="Arial" w:hAnsi="Arial" w:cs="Arial"/>
          <w:sz w:val="20"/>
          <w:szCs w:val="20"/>
        </w:rPr>
        <w:t xml:space="preserve">Sistema </w:t>
      </w:r>
      <w:proofErr w:type="spellStart"/>
      <w:r w:rsidR="00AE3656" w:rsidRPr="00FA7414">
        <w:rPr>
          <w:rFonts w:ascii="Arial" w:hAnsi="Arial" w:cs="Arial"/>
          <w:sz w:val="20"/>
          <w:szCs w:val="20"/>
        </w:rPr>
        <w:t>Glonass</w:t>
      </w:r>
      <w:proofErr w:type="spellEnd"/>
      <w:r w:rsidR="00FB6E14" w:rsidRPr="00FA7414">
        <w:rPr>
          <w:rFonts w:ascii="Arial" w:hAnsi="Arial" w:cs="Arial"/>
          <w:sz w:val="20"/>
          <w:szCs w:val="20"/>
        </w:rPr>
        <w:t>.</w:t>
      </w:r>
      <w:r w:rsidR="00363B61" w:rsidRPr="00FA7414">
        <w:rPr>
          <w:rFonts w:ascii="Arial" w:hAnsi="Arial" w:cs="Arial"/>
          <w:sz w:val="20"/>
          <w:szCs w:val="20"/>
        </w:rPr>
        <w:t xml:space="preserve"> </w:t>
      </w:r>
    </w:p>
    <w:p w:rsidR="00363B61"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Mareas</w:t>
      </w:r>
      <w:r w:rsidR="0043608E" w:rsidRPr="00FA7414">
        <w:rPr>
          <w:rFonts w:ascii="Arial" w:hAnsi="Arial" w:cs="Arial"/>
          <w:sz w:val="20"/>
          <w:szCs w:val="20"/>
        </w:rPr>
        <w:t>:  Teorí</w:t>
      </w:r>
      <w:r w:rsidR="00363B61" w:rsidRPr="00FA7414">
        <w:rPr>
          <w:rFonts w:ascii="Arial" w:hAnsi="Arial" w:cs="Arial"/>
          <w:sz w:val="20"/>
          <w:szCs w:val="20"/>
        </w:rPr>
        <w:t>a de las mareas</w:t>
      </w:r>
      <w:r w:rsidR="00FB6E14" w:rsidRPr="00FA7414">
        <w:rPr>
          <w:rFonts w:ascii="Arial" w:hAnsi="Arial" w:cs="Arial"/>
          <w:sz w:val="20"/>
          <w:szCs w:val="20"/>
        </w:rPr>
        <w:t>, Clasificación de las mareas,</w:t>
      </w:r>
      <w:r w:rsidR="00AE3656" w:rsidRPr="00FA7414">
        <w:rPr>
          <w:rFonts w:ascii="Arial" w:hAnsi="Arial" w:cs="Arial"/>
          <w:sz w:val="20"/>
          <w:szCs w:val="20"/>
        </w:rPr>
        <w:t xml:space="preserve"> Ciclos de las mareas, </w:t>
      </w:r>
      <w:proofErr w:type="spellStart"/>
      <w:r w:rsidR="00363B61" w:rsidRPr="00FA7414">
        <w:rPr>
          <w:rFonts w:ascii="Arial" w:hAnsi="Arial" w:cs="Arial"/>
          <w:sz w:val="20"/>
          <w:szCs w:val="20"/>
        </w:rPr>
        <w:t>Datum</w:t>
      </w:r>
      <w:proofErr w:type="spellEnd"/>
      <w:r w:rsidR="00363B61" w:rsidRPr="00FA7414">
        <w:rPr>
          <w:rFonts w:ascii="Arial" w:hAnsi="Arial" w:cs="Arial"/>
          <w:sz w:val="20"/>
          <w:szCs w:val="20"/>
        </w:rPr>
        <w:t xml:space="preserve">, </w:t>
      </w:r>
      <w:r w:rsidR="00AE3656" w:rsidRPr="00FA7414">
        <w:rPr>
          <w:rFonts w:ascii="Arial" w:hAnsi="Arial" w:cs="Arial"/>
          <w:sz w:val="20"/>
          <w:szCs w:val="20"/>
        </w:rPr>
        <w:t>Anomalías</w:t>
      </w:r>
      <w:r w:rsidR="00363B61" w:rsidRPr="00FA7414">
        <w:rPr>
          <w:rFonts w:ascii="Arial" w:hAnsi="Arial" w:cs="Arial"/>
          <w:sz w:val="20"/>
          <w:szCs w:val="20"/>
        </w:rPr>
        <w:t xml:space="preserve">, </w:t>
      </w:r>
      <w:r w:rsidR="00FB6E14" w:rsidRPr="00FA7414">
        <w:rPr>
          <w:rFonts w:ascii="Arial" w:hAnsi="Arial" w:cs="Arial"/>
          <w:sz w:val="20"/>
          <w:szCs w:val="20"/>
        </w:rPr>
        <w:t>C</w:t>
      </w:r>
      <w:r w:rsidR="00363B61" w:rsidRPr="00FA7414">
        <w:rPr>
          <w:rFonts w:ascii="Arial" w:hAnsi="Arial" w:cs="Arial"/>
          <w:sz w:val="20"/>
          <w:szCs w:val="20"/>
        </w:rPr>
        <w:t>álculos de mareas</w:t>
      </w:r>
      <w:r w:rsidR="00FB6E14" w:rsidRPr="00FA7414">
        <w:rPr>
          <w:rFonts w:ascii="Arial" w:hAnsi="Arial" w:cs="Arial"/>
          <w:sz w:val="20"/>
          <w:szCs w:val="20"/>
        </w:rPr>
        <w:t>, A</w:t>
      </w:r>
      <w:r w:rsidR="00363B61" w:rsidRPr="00FA7414">
        <w:rPr>
          <w:rFonts w:ascii="Arial" w:hAnsi="Arial" w:cs="Arial"/>
          <w:sz w:val="20"/>
          <w:szCs w:val="20"/>
        </w:rPr>
        <w:t>nuario</w:t>
      </w:r>
      <w:r w:rsidR="00AE3656" w:rsidRPr="00FA7414">
        <w:rPr>
          <w:rFonts w:ascii="Arial" w:hAnsi="Arial" w:cs="Arial"/>
          <w:sz w:val="20"/>
          <w:szCs w:val="20"/>
        </w:rPr>
        <w:t xml:space="preserve"> de mareas</w:t>
      </w:r>
      <w:r w:rsidR="00363B61" w:rsidRPr="00FA7414">
        <w:rPr>
          <w:rFonts w:ascii="Arial" w:hAnsi="Arial" w:cs="Arial"/>
          <w:sz w:val="20"/>
          <w:szCs w:val="20"/>
        </w:rPr>
        <w:t xml:space="preserve">, </w:t>
      </w:r>
      <w:r w:rsidR="00FB6E14" w:rsidRPr="00FA7414">
        <w:rPr>
          <w:rFonts w:ascii="Arial" w:hAnsi="Arial" w:cs="Arial"/>
          <w:sz w:val="20"/>
          <w:szCs w:val="20"/>
        </w:rPr>
        <w:t>I</w:t>
      </w:r>
      <w:r w:rsidR="00363B61" w:rsidRPr="00FA7414">
        <w:rPr>
          <w:rFonts w:ascii="Arial" w:hAnsi="Arial" w:cs="Arial"/>
          <w:sz w:val="20"/>
          <w:szCs w:val="20"/>
        </w:rPr>
        <w:t>nfluencia de la presión atmosférica,</w:t>
      </w:r>
      <w:r w:rsidR="00FB6E14" w:rsidRPr="00FA7414">
        <w:rPr>
          <w:rFonts w:ascii="Arial" w:hAnsi="Arial" w:cs="Arial"/>
          <w:sz w:val="20"/>
          <w:szCs w:val="20"/>
        </w:rPr>
        <w:t xml:space="preserve"> C</w:t>
      </w:r>
      <w:r w:rsidR="00363B61" w:rsidRPr="00FA7414">
        <w:rPr>
          <w:rFonts w:ascii="Arial" w:hAnsi="Arial" w:cs="Arial"/>
          <w:sz w:val="20"/>
          <w:szCs w:val="20"/>
        </w:rPr>
        <w:t>orrientes de marea.</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proofErr w:type="spellStart"/>
      <w:r w:rsidRPr="00FA7414">
        <w:rPr>
          <w:rFonts w:ascii="Arial" w:hAnsi="Arial" w:cs="Arial"/>
          <w:sz w:val="20"/>
          <w:szCs w:val="20"/>
        </w:rPr>
        <w:t>Standart</w:t>
      </w:r>
      <w:proofErr w:type="spellEnd"/>
      <w:r w:rsidRPr="00FA7414">
        <w:rPr>
          <w:rFonts w:ascii="Arial" w:hAnsi="Arial" w:cs="Arial"/>
          <w:sz w:val="20"/>
          <w:szCs w:val="20"/>
        </w:rPr>
        <w:t xml:space="preserve"> Marine </w:t>
      </w:r>
      <w:proofErr w:type="spellStart"/>
      <w:r w:rsidRPr="00FA7414">
        <w:rPr>
          <w:rFonts w:ascii="Arial" w:hAnsi="Arial" w:cs="Arial"/>
          <w:sz w:val="20"/>
          <w:szCs w:val="20"/>
        </w:rPr>
        <w:t>Navigational</w:t>
      </w:r>
      <w:proofErr w:type="spellEnd"/>
      <w:r w:rsidRPr="00FA7414">
        <w:rPr>
          <w:rFonts w:ascii="Arial" w:hAnsi="Arial" w:cs="Arial"/>
          <w:sz w:val="20"/>
          <w:szCs w:val="20"/>
        </w:rPr>
        <w:t xml:space="preserve"> </w:t>
      </w:r>
      <w:proofErr w:type="spellStart"/>
      <w:r w:rsidRPr="00FA7414">
        <w:rPr>
          <w:rFonts w:ascii="Arial" w:hAnsi="Arial" w:cs="Arial"/>
          <w:sz w:val="20"/>
          <w:szCs w:val="20"/>
        </w:rPr>
        <w:t>Vocabulary</w:t>
      </w:r>
      <w:proofErr w:type="spellEnd"/>
      <w:r w:rsidRPr="00FA7414">
        <w:rPr>
          <w:rFonts w:ascii="Arial" w:hAnsi="Arial" w:cs="Arial"/>
          <w:sz w:val="20"/>
          <w:szCs w:val="20"/>
        </w:rPr>
        <w:t xml:space="preserve">: Características básicas de las comunicaciones marítimas en inglés. Procedimiento de deletreo (letras y números).  </w:t>
      </w:r>
      <w:proofErr w:type="spellStart"/>
      <w:r w:rsidRPr="00FA7414">
        <w:rPr>
          <w:rFonts w:ascii="Arial" w:hAnsi="Arial" w:cs="Arial"/>
          <w:sz w:val="20"/>
          <w:szCs w:val="20"/>
        </w:rPr>
        <w:t>Message</w:t>
      </w:r>
      <w:proofErr w:type="spellEnd"/>
      <w:r w:rsidRPr="00FA7414">
        <w:rPr>
          <w:rFonts w:ascii="Arial" w:hAnsi="Arial" w:cs="Arial"/>
          <w:sz w:val="20"/>
          <w:szCs w:val="20"/>
        </w:rPr>
        <w:t xml:space="preserve"> </w:t>
      </w:r>
      <w:proofErr w:type="spellStart"/>
      <w:r w:rsidRPr="00FA7414">
        <w:rPr>
          <w:rFonts w:ascii="Arial" w:hAnsi="Arial" w:cs="Arial"/>
          <w:sz w:val="20"/>
          <w:szCs w:val="20"/>
        </w:rPr>
        <w:t>markers</w:t>
      </w:r>
      <w:proofErr w:type="spellEnd"/>
      <w:r w:rsidRPr="00FA7414">
        <w:rPr>
          <w:rFonts w:ascii="Arial" w:hAnsi="Arial" w:cs="Arial"/>
          <w:sz w:val="20"/>
          <w:szCs w:val="20"/>
        </w:rPr>
        <w:t xml:space="preserve"> in </w:t>
      </w:r>
      <w:proofErr w:type="spellStart"/>
      <w:r w:rsidRPr="00FA7414">
        <w:rPr>
          <w:rFonts w:ascii="Arial" w:hAnsi="Arial" w:cs="Arial"/>
          <w:sz w:val="20"/>
          <w:szCs w:val="20"/>
        </w:rPr>
        <w:t>communication</w:t>
      </w:r>
      <w:proofErr w:type="spellEnd"/>
      <w:r w:rsidRPr="00FA7414">
        <w:rPr>
          <w:rFonts w:ascii="Arial" w:hAnsi="Arial" w:cs="Arial"/>
          <w:sz w:val="20"/>
          <w:szCs w:val="20"/>
        </w:rPr>
        <w:t>.</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proofErr w:type="spellStart"/>
      <w:r w:rsidRPr="00FA7414">
        <w:rPr>
          <w:rFonts w:ascii="Arial" w:hAnsi="Arial" w:cs="Arial"/>
          <w:sz w:val="20"/>
          <w:szCs w:val="20"/>
        </w:rPr>
        <w:t>Standart</w:t>
      </w:r>
      <w:proofErr w:type="spellEnd"/>
      <w:r w:rsidRPr="00FA7414">
        <w:rPr>
          <w:rFonts w:ascii="Arial" w:hAnsi="Arial" w:cs="Arial"/>
          <w:sz w:val="20"/>
          <w:szCs w:val="20"/>
        </w:rPr>
        <w:t xml:space="preserve"> Marine </w:t>
      </w:r>
      <w:proofErr w:type="spellStart"/>
      <w:r w:rsidRPr="00FA7414">
        <w:rPr>
          <w:rFonts w:ascii="Arial" w:hAnsi="Arial" w:cs="Arial"/>
          <w:sz w:val="20"/>
          <w:szCs w:val="20"/>
        </w:rPr>
        <w:t>Navigational</w:t>
      </w:r>
      <w:proofErr w:type="spellEnd"/>
      <w:r w:rsidRPr="00FA7414">
        <w:rPr>
          <w:rFonts w:ascii="Arial" w:hAnsi="Arial" w:cs="Arial"/>
          <w:sz w:val="20"/>
          <w:szCs w:val="20"/>
        </w:rPr>
        <w:t xml:space="preserve"> </w:t>
      </w:r>
      <w:proofErr w:type="spellStart"/>
      <w:r w:rsidRPr="00FA7414">
        <w:rPr>
          <w:rFonts w:ascii="Arial" w:hAnsi="Arial" w:cs="Arial"/>
          <w:sz w:val="20"/>
          <w:szCs w:val="20"/>
        </w:rPr>
        <w:t>Vocabulary</w:t>
      </w:r>
      <w:proofErr w:type="spellEnd"/>
      <w:r w:rsidRPr="00FA7414">
        <w:rPr>
          <w:rFonts w:ascii="Arial" w:hAnsi="Arial" w:cs="Arial"/>
          <w:sz w:val="20"/>
          <w:szCs w:val="20"/>
        </w:rPr>
        <w:t xml:space="preserve">:  Palabras indicadoras de socorro, urgencia y </w:t>
      </w:r>
      <w:r w:rsidR="00AE3656" w:rsidRPr="00FA7414">
        <w:rPr>
          <w:rFonts w:ascii="Arial" w:hAnsi="Arial" w:cs="Arial"/>
          <w:sz w:val="20"/>
          <w:szCs w:val="20"/>
        </w:rPr>
        <w:t>seguridad.</w:t>
      </w:r>
      <w:r w:rsidRPr="00FA7414">
        <w:rPr>
          <w:rFonts w:ascii="Arial" w:hAnsi="Arial" w:cs="Arial"/>
          <w:sz w:val="20"/>
          <w:szCs w:val="20"/>
        </w:rPr>
        <w:t xml:space="preserve"> </w:t>
      </w:r>
      <w:r w:rsidR="00AE3656" w:rsidRPr="00FA7414">
        <w:rPr>
          <w:rFonts w:ascii="Arial" w:hAnsi="Arial" w:cs="Arial"/>
          <w:sz w:val="20"/>
          <w:szCs w:val="20"/>
        </w:rPr>
        <w:t>Repetición,</w:t>
      </w:r>
      <w:r w:rsidRPr="00FA7414">
        <w:rPr>
          <w:rFonts w:ascii="Arial" w:hAnsi="Arial" w:cs="Arial"/>
          <w:sz w:val="20"/>
          <w:szCs w:val="20"/>
        </w:rPr>
        <w:t xml:space="preserve"> forma de decir </w:t>
      </w:r>
      <w:r w:rsidR="00AE3656" w:rsidRPr="00FA7414">
        <w:rPr>
          <w:rFonts w:ascii="Arial" w:hAnsi="Arial" w:cs="Arial"/>
          <w:sz w:val="20"/>
          <w:szCs w:val="20"/>
        </w:rPr>
        <w:t>rumbos,</w:t>
      </w:r>
      <w:r w:rsidRPr="00FA7414">
        <w:rPr>
          <w:rFonts w:ascii="Arial" w:hAnsi="Arial" w:cs="Arial"/>
          <w:sz w:val="20"/>
          <w:szCs w:val="20"/>
        </w:rPr>
        <w:t xml:space="preserve"> </w:t>
      </w:r>
      <w:r w:rsidR="00AE3656" w:rsidRPr="00FA7414">
        <w:rPr>
          <w:rFonts w:ascii="Arial" w:hAnsi="Arial" w:cs="Arial"/>
          <w:sz w:val="20"/>
          <w:szCs w:val="20"/>
        </w:rPr>
        <w:t>posiciones,</w:t>
      </w:r>
      <w:r w:rsidRPr="00FA7414">
        <w:rPr>
          <w:rFonts w:ascii="Arial" w:hAnsi="Arial" w:cs="Arial"/>
          <w:sz w:val="20"/>
          <w:szCs w:val="20"/>
        </w:rPr>
        <w:t xml:space="preserve"> </w:t>
      </w:r>
      <w:r w:rsidR="00AE3656" w:rsidRPr="00FA7414">
        <w:rPr>
          <w:rFonts w:ascii="Arial" w:hAnsi="Arial" w:cs="Arial"/>
          <w:sz w:val="20"/>
          <w:szCs w:val="20"/>
        </w:rPr>
        <w:t>distancias,</w:t>
      </w:r>
      <w:r w:rsidRPr="00FA7414">
        <w:rPr>
          <w:rFonts w:ascii="Arial" w:hAnsi="Arial" w:cs="Arial"/>
          <w:sz w:val="20"/>
          <w:szCs w:val="20"/>
        </w:rPr>
        <w:t xml:space="preserve"> </w:t>
      </w:r>
      <w:r w:rsidR="00AE3656" w:rsidRPr="00FA7414">
        <w:rPr>
          <w:rFonts w:ascii="Arial" w:hAnsi="Arial" w:cs="Arial"/>
          <w:sz w:val="20"/>
          <w:szCs w:val="20"/>
        </w:rPr>
        <w:t>velocidad,</w:t>
      </w:r>
      <w:r w:rsidRPr="00FA7414">
        <w:rPr>
          <w:rFonts w:ascii="Arial" w:hAnsi="Arial" w:cs="Arial"/>
          <w:sz w:val="20"/>
          <w:szCs w:val="20"/>
        </w:rPr>
        <w:t xml:space="preserve"> horas. Uso de términos ambiguos.</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proofErr w:type="spellStart"/>
      <w:r w:rsidRPr="00FA7414">
        <w:rPr>
          <w:rFonts w:ascii="Arial" w:hAnsi="Arial" w:cs="Arial"/>
          <w:sz w:val="20"/>
          <w:szCs w:val="20"/>
        </w:rPr>
        <w:t>Standart</w:t>
      </w:r>
      <w:proofErr w:type="spellEnd"/>
      <w:r w:rsidRPr="00FA7414">
        <w:rPr>
          <w:rFonts w:ascii="Arial" w:hAnsi="Arial" w:cs="Arial"/>
          <w:sz w:val="20"/>
          <w:szCs w:val="20"/>
        </w:rPr>
        <w:t xml:space="preserve"> Marine </w:t>
      </w:r>
      <w:proofErr w:type="spellStart"/>
      <w:r w:rsidRPr="00FA7414">
        <w:rPr>
          <w:rFonts w:ascii="Arial" w:hAnsi="Arial" w:cs="Arial"/>
          <w:sz w:val="20"/>
          <w:szCs w:val="20"/>
        </w:rPr>
        <w:t>Navigational</w:t>
      </w:r>
      <w:proofErr w:type="spellEnd"/>
      <w:r w:rsidRPr="00FA7414">
        <w:rPr>
          <w:rFonts w:ascii="Arial" w:hAnsi="Arial" w:cs="Arial"/>
          <w:sz w:val="20"/>
          <w:szCs w:val="20"/>
        </w:rPr>
        <w:t xml:space="preserve"> </w:t>
      </w:r>
      <w:proofErr w:type="spellStart"/>
      <w:r w:rsidRPr="00FA7414">
        <w:rPr>
          <w:rFonts w:ascii="Arial" w:hAnsi="Arial" w:cs="Arial"/>
          <w:sz w:val="20"/>
          <w:szCs w:val="20"/>
        </w:rPr>
        <w:t>Vocabulary</w:t>
      </w:r>
      <w:proofErr w:type="spellEnd"/>
      <w:r w:rsidRPr="00FA7414">
        <w:rPr>
          <w:rFonts w:ascii="Arial" w:hAnsi="Arial" w:cs="Arial"/>
          <w:sz w:val="20"/>
          <w:szCs w:val="20"/>
        </w:rPr>
        <w:t xml:space="preserve">:  Posición relativa a </w:t>
      </w:r>
      <w:r w:rsidR="00AE3656" w:rsidRPr="00FA7414">
        <w:rPr>
          <w:rFonts w:ascii="Arial" w:hAnsi="Arial" w:cs="Arial"/>
          <w:sz w:val="20"/>
          <w:szCs w:val="20"/>
        </w:rPr>
        <w:t>bordo,</w:t>
      </w:r>
      <w:r w:rsidRPr="00FA7414">
        <w:rPr>
          <w:rFonts w:ascii="Arial" w:hAnsi="Arial" w:cs="Arial"/>
          <w:sz w:val="20"/>
          <w:szCs w:val="20"/>
        </w:rPr>
        <w:t xml:space="preserve"> Dimensiones principales del </w:t>
      </w:r>
      <w:r w:rsidR="00AE3656" w:rsidRPr="00FA7414">
        <w:rPr>
          <w:rFonts w:ascii="Arial" w:hAnsi="Arial" w:cs="Arial"/>
          <w:sz w:val="20"/>
          <w:szCs w:val="20"/>
        </w:rPr>
        <w:t>buque,</w:t>
      </w:r>
      <w:r w:rsidRPr="00FA7414">
        <w:rPr>
          <w:rFonts w:ascii="Arial" w:hAnsi="Arial" w:cs="Arial"/>
          <w:sz w:val="20"/>
          <w:szCs w:val="20"/>
        </w:rPr>
        <w:t xml:space="preserve"> Partes del buque más </w:t>
      </w:r>
      <w:r w:rsidR="00AE3656" w:rsidRPr="00FA7414">
        <w:rPr>
          <w:rFonts w:ascii="Arial" w:hAnsi="Arial" w:cs="Arial"/>
          <w:sz w:val="20"/>
          <w:szCs w:val="20"/>
        </w:rPr>
        <w:t>importantes,</w:t>
      </w:r>
      <w:r w:rsidRPr="00FA7414">
        <w:rPr>
          <w:rFonts w:ascii="Arial" w:hAnsi="Arial" w:cs="Arial"/>
          <w:sz w:val="20"/>
          <w:szCs w:val="20"/>
        </w:rPr>
        <w:t xml:space="preserve"> ordenes al </w:t>
      </w:r>
      <w:r w:rsidR="00AE3656" w:rsidRPr="00FA7414">
        <w:rPr>
          <w:rFonts w:ascii="Arial" w:hAnsi="Arial" w:cs="Arial"/>
          <w:sz w:val="20"/>
          <w:szCs w:val="20"/>
        </w:rPr>
        <w:t>timón,</w:t>
      </w:r>
      <w:r w:rsidRPr="00FA7414">
        <w:rPr>
          <w:rFonts w:ascii="Arial" w:hAnsi="Arial" w:cs="Arial"/>
          <w:sz w:val="20"/>
          <w:szCs w:val="20"/>
        </w:rPr>
        <w:t xml:space="preserve"> órdenes a la </w:t>
      </w:r>
      <w:r w:rsidR="00AE3656" w:rsidRPr="00FA7414">
        <w:rPr>
          <w:rFonts w:ascii="Arial" w:hAnsi="Arial" w:cs="Arial"/>
          <w:sz w:val="20"/>
          <w:szCs w:val="20"/>
        </w:rPr>
        <w:t>máquina,</w:t>
      </w:r>
      <w:r w:rsidRPr="00FA7414">
        <w:rPr>
          <w:rFonts w:ascii="Arial" w:hAnsi="Arial" w:cs="Arial"/>
          <w:sz w:val="20"/>
          <w:szCs w:val="20"/>
        </w:rPr>
        <w:t xml:space="preserve"> dimensiones principales del </w:t>
      </w:r>
      <w:r w:rsidR="00AE3656" w:rsidRPr="00FA7414">
        <w:rPr>
          <w:rFonts w:ascii="Arial" w:hAnsi="Arial" w:cs="Arial"/>
          <w:sz w:val="20"/>
          <w:szCs w:val="20"/>
        </w:rPr>
        <w:t>buque,</w:t>
      </w:r>
      <w:r w:rsidRPr="00FA7414">
        <w:rPr>
          <w:rFonts w:ascii="Arial" w:hAnsi="Arial" w:cs="Arial"/>
          <w:sz w:val="20"/>
          <w:szCs w:val="20"/>
        </w:rPr>
        <w:t xml:space="preserve"> cabos usados en el amarre.</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proofErr w:type="spellStart"/>
      <w:r w:rsidRPr="00FA7414">
        <w:rPr>
          <w:rFonts w:ascii="Arial" w:hAnsi="Arial" w:cs="Arial"/>
          <w:sz w:val="20"/>
          <w:szCs w:val="20"/>
        </w:rPr>
        <w:t>Standart</w:t>
      </w:r>
      <w:proofErr w:type="spellEnd"/>
      <w:r w:rsidRPr="00FA7414">
        <w:rPr>
          <w:rFonts w:ascii="Arial" w:hAnsi="Arial" w:cs="Arial"/>
          <w:sz w:val="20"/>
          <w:szCs w:val="20"/>
        </w:rPr>
        <w:t xml:space="preserve"> Marine </w:t>
      </w:r>
      <w:proofErr w:type="spellStart"/>
      <w:r w:rsidRPr="00FA7414">
        <w:rPr>
          <w:rFonts w:ascii="Arial" w:hAnsi="Arial" w:cs="Arial"/>
          <w:sz w:val="20"/>
          <w:szCs w:val="20"/>
        </w:rPr>
        <w:t>Navigational</w:t>
      </w:r>
      <w:proofErr w:type="spellEnd"/>
      <w:r w:rsidRPr="00FA7414">
        <w:rPr>
          <w:rFonts w:ascii="Arial" w:hAnsi="Arial" w:cs="Arial"/>
          <w:sz w:val="20"/>
          <w:szCs w:val="20"/>
        </w:rPr>
        <w:t xml:space="preserve"> </w:t>
      </w:r>
      <w:proofErr w:type="spellStart"/>
      <w:r w:rsidRPr="00FA7414">
        <w:rPr>
          <w:rFonts w:ascii="Arial" w:hAnsi="Arial" w:cs="Arial"/>
          <w:sz w:val="20"/>
          <w:szCs w:val="20"/>
        </w:rPr>
        <w:t>Vocabulary</w:t>
      </w:r>
      <w:proofErr w:type="spellEnd"/>
      <w:r w:rsidRPr="00FA7414">
        <w:rPr>
          <w:rFonts w:ascii="Arial" w:hAnsi="Arial" w:cs="Arial"/>
          <w:sz w:val="20"/>
          <w:szCs w:val="20"/>
        </w:rPr>
        <w:t xml:space="preserve">: Términos usados en </w:t>
      </w:r>
      <w:r w:rsidR="00AE3656" w:rsidRPr="00FA7414">
        <w:rPr>
          <w:rFonts w:ascii="Arial" w:hAnsi="Arial" w:cs="Arial"/>
          <w:sz w:val="20"/>
          <w:szCs w:val="20"/>
        </w:rPr>
        <w:t>meteorología,</w:t>
      </w:r>
      <w:r w:rsidRPr="00FA7414">
        <w:rPr>
          <w:rFonts w:ascii="Arial" w:hAnsi="Arial" w:cs="Arial"/>
          <w:sz w:val="20"/>
          <w:szCs w:val="20"/>
        </w:rPr>
        <w:t xml:space="preserve"> mareas.</w:t>
      </w:r>
    </w:p>
    <w:p w:rsidR="00240ECC" w:rsidRPr="00FA7414" w:rsidRDefault="001A5CB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Mete</w:t>
      </w:r>
      <w:r w:rsidR="0043608E" w:rsidRPr="00FA7414">
        <w:rPr>
          <w:rFonts w:ascii="Arial" w:hAnsi="Arial" w:cs="Arial"/>
          <w:sz w:val="20"/>
          <w:szCs w:val="20"/>
        </w:rPr>
        <w:t>o</w:t>
      </w:r>
      <w:r w:rsidRPr="00FA7414">
        <w:rPr>
          <w:rFonts w:ascii="Arial" w:hAnsi="Arial" w:cs="Arial"/>
          <w:sz w:val="20"/>
          <w:szCs w:val="20"/>
        </w:rPr>
        <w:t>rología</w:t>
      </w:r>
      <w:r w:rsidR="0043608E" w:rsidRPr="00FA7414">
        <w:rPr>
          <w:rFonts w:ascii="Arial" w:hAnsi="Arial" w:cs="Arial"/>
          <w:sz w:val="20"/>
          <w:szCs w:val="20"/>
        </w:rPr>
        <w:t>: Definición</w:t>
      </w:r>
      <w:r w:rsidR="00240ECC" w:rsidRPr="00FA7414">
        <w:rPr>
          <w:rFonts w:ascii="Arial" w:hAnsi="Arial" w:cs="Arial"/>
          <w:sz w:val="20"/>
          <w:szCs w:val="20"/>
        </w:rPr>
        <w:t xml:space="preserve">, Variables meteorológicas principales, Unidades empleadas en meteorología, Instrumentos de medida. </w:t>
      </w:r>
      <w:r w:rsidRPr="00FA7414">
        <w:rPr>
          <w:rFonts w:ascii="Arial" w:hAnsi="Arial" w:cs="Arial"/>
          <w:sz w:val="20"/>
          <w:szCs w:val="20"/>
        </w:rPr>
        <w:t>Observación e interpretación del barómetro y termómetro, interpretación del aspecto del cielo para el pronóstico</w:t>
      </w:r>
      <w:r w:rsidR="0043608E" w:rsidRPr="00FA7414">
        <w:rPr>
          <w:rFonts w:ascii="Arial" w:hAnsi="Arial" w:cs="Arial"/>
          <w:sz w:val="20"/>
          <w:szCs w:val="20"/>
        </w:rPr>
        <w:t>, f</w:t>
      </w:r>
      <w:r w:rsidRPr="00FA7414">
        <w:rPr>
          <w:rFonts w:ascii="Arial" w:hAnsi="Arial" w:cs="Arial"/>
          <w:sz w:val="20"/>
          <w:szCs w:val="20"/>
        </w:rPr>
        <w:t>ormación y tipos de nubes</w:t>
      </w:r>
      <w:r w:rsidR="0043608E" w:rsidRPr="00FA7414">
        <w:rPr>
          <w:rFonts w:ascii="Arial" w:hAnsi="Arial" w:cs="Arial"/>
          <w:sz w:val="20"/>
          <w:szCs w:val="20"/>
        </w:rPr>
        <w:t>.</w:t>
      </w:r>
    </w:p>
    <w:p w:rsidR="00240ECC" w:rsidRPr="00FA7414" w:rsidRDefault="001A5CB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Presión atmosférica: P</w:t>
      </w:r>
      <w:r w:rsidR="00240ECC" w:rsidRPr="00FA7414">
        <w:rPr>
          <w:rFonts w:ascii="Arial" w:hAnsi="Arial" w:cs="Arial"/>
          <w:sz w:val="20"/>
          <w:szCs w:val="20"/>
        </w:rPr>
        <w:t>resión normal, Borrascas y anticiclones,</w:t>
      </w:r>
      <w:r w:rsidR="0043608E" w:rsidRPr="00FA7414">
        <w:rPr>
          <w:rFonts w:ascii="Arial" w:hAnsi="Arial" w:cs="Arial"/>
          <w:sz w:val="20"/>
          <w:szCs w:val="20"/>
        </w:rPr>
        <w:t xml:space="preserve"> </w:t>
      </w:r>
      <w:r w:rsidR="00240ECC" w:rsidRPr="00FA7414">
        <w:rPr>
          <w:rFonts w:ascii="Arial" w:hAnsi="Arial" w:cs="Arial"/>
          <w:sz w:val="20"/>
          <w:szCs w:val="20"/>
        </w:rPr>
        <w:t>frentes,</w:t>
      </w:r>
      <w:r w:rsidR="00FB6E14" w:rsidRPr="00FA7414">
        <w:rPr>
          <w:rFonts w:ascii="Arial" w:hAnsi="Arial" w:cs="Arial"/>
          <w:sz w:val="20"/>
          <w:szCs w:val="20"/>
        </w:rPr>
        <w:t xml:space="preserve"> </w:t>
      </w:r>
      <w:r w:rsidR="00240ECC" w:rsidRPr="00FA7414">
        <w:rPr>
          <w:rFonts w:ascii="Arial" w:hAnsi="Arial" w:cs="Arial"/>
          <w:sz w:val="20"/>
          <w:szCs w:val="20"/>
        </w:rPr>
        <w:t>formación del</w:t>
      </w:r>
      <w:r w:rsidR="0043608E" w:rsidRPr="00FA7414">
        <w:rPr>
          <w:rFonts w:ascii="Arial" w:hAnsi="Arial" w:cs="Arial"/>
          <w:sz w:val="20"/>
          <w:szCs w:val="20"/>
        </w:rPr>
        <w:t xml:space="preserve"> </w:t>
      </w:r>
      <w:r w:rsidR="00240ECC" w:rsidRPr="00FA7414">
        <w:rPr>
          <w:rFonts w:ascii="Arial" w:hAnsi="Arial" w:cs="Arial"/>
          <w:sz w:val="20"/>
          <w:szCs w:val="20"/>
        </w:rPr>
        <w:t xml:space="preserve">viento, circulación general del viento en el Hemisferio </w:t>
      </w:r>
      <w:r w:rsidR="00AE3656" w:rsidRPr="00FA7414">
        <w:rPr>
          <w:rFonts w:ascii="Arial" w:hAnsi="Arial" w:cs="Arial"/>
          <w:sz w:val="20"/>
          <w:szCs w:val="20"/>
        </w:rPr>
        <w:t>norte,</w:t>
      </w:r>
      <w:r w:rsidR="00240ECC" w:rsidRPr="00FA7414">
        <w:rPr>
          <w:rFonts w:ascii="Arial" w:hAnsi="Arial" w:cs="Arial"/>
          <w:sz w:val="20"/>
          <w:szCs w:val="20"/>
        </w:rPr>
        <w:t xml:space="preserve"> viento real y aparente, términos relacionados con el viento, brisas </w:t>
      </w:r>
      <w:r w:rsidR="00AE3656" w:rsidRPr="00FA7414">
        <w:rPr>
          <w:rFonts w:ascii="Arial" w:hAnsi="Arial" w:cs="Arial"/>
          <w:sz w:val="20"/>
          <w:szCs w:val="20"/>
        </w:rPr>
        <w:t>costeras,</w:t>
      </w:r>
      <w:r w:rsidR="00240ECC" w:rsidRPr="00FA7414">
        <w:rPr>
          <w:rFonts w:ascii="Arial" w:hAnsi="Arial" w:cs="Arial"/>
          <w:sz w:val="20"/>
          <w:szCs w:val="20"/>
        </w:rPr>
        <w:t xml:space="preserve"> escala usada para definir la intensidad del viento y la mar</w:t>
      </w:r>
      <w:r w:rsidR="0043608E" w:rsidRPr="00FA7414">
        <w:rPr>
          <w:rFonts w:ascii="Arial" w:hAnsi="Arial" w:cs="Arial"/>
          <w:sz w:val="20"/>
          <w:szCs w:val="20"/>
        </w:rPr>
        <w:t>. Relación entre</w:t>
      </w:r>
      <w:r w:rsidR="00240ECC" w:rsidRPr="00FA7414">
        <w:rPr>
          <w:rFonts w:ascii="Arial" w:hAnsi="Arial" w:cs="Arial"/>
          <w:sz w:val="20"/>
          <w:szCs w:val="20"/>
        </w:rPr>
        <w:t xml:space="preserve"> intensidad del viento y estado de la mar.</w:t>
      </w:r>
    </w:p>
    <w:p w:rsidR="0043608E" w:rsidRPr="00FA7414" w:rsidRDefault="0043608E"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Oceanografía: Propiedades del agua de mar, Corrientes, Circulación oceánica. -  Olas: Tipos de olas, formación de olas y teoría de Olas.</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Trazado de la línea de ejes. Su instalación. Bocinas. Propulsores en buques de pesca. Timones en buques de pesca.</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Combustibles</w:t>
      </w:r>
      <w:r w:rsidR="00FB6E14" w:rsidRPr="00FA7414">
        <w:rPr>
          <w:rFonts w:ascii="Arial" w:hAnsi="Arial" w:cs="Arial"/>
          <w:sz w:val="20"/>
          <w:szCs w:val="20"/>
        </w:rPr>
        <w:t>:</w:t>
      </w:r>
      <w:r w:rsidRPr="00FA7414">
        <w:rPr>
          <w:rFonts w:ascii="Arial" w:hAnsi="Arial" w:cs="Arial"/>
          <w:sz w:val="20"/>
          <w:szCs w:val="20"/>
        </w:rPr>
        <w:t xml:space="preserve"> Combustión; eleme</w:t>
      </w:r>
      <w:r w:rsidR="00FB6E14" w:rsidRPr="00FA7414">
        <w:rPr>
          <w:rFonts w:ascii="Arial" w:hAnsi="Arial" w:cs="Arial"/>
          <w:sz w:val="20"/>
          <w:szCs w:val="20"/>
        </w:rPr>
        <w:t>ntos combustibles y comburentes,</w:t>
      </w:r>
      <w:r w:rsidRPr="00FA7414">
        <w:rPr>
          <w:rFonts w:ascii="Arial" w:hAnsi="Arial" w:cs="Arial"/>
          <w:sz w:val="20"/>
          <w:szCs w:val="20"/>
        </w:rPr>
        <w:t xml:space="preserve"> Propi</w:t>
      </w:r>
      <w:r w:rsidR="00FB6E14" w:rsidRPr="00FA7414">
        <w:rPr>
          <w:rFonts w:ascii="Arial" w:hAnsi="Arial" w:cs="Arial"/>
          <w:sz w:val="20"/>
          <w:szCs w:val="20"/>
        </w:rPr>
        <w:t>edades de los combustibles, Consumo</w:t>
      </w:r>
      <w:r w:rsidRPr="00FA7414">
        <w:rPr>
          <w:rFonts w:ascii="Arial" w:hAnsi="Arial" w:cs="Arial"/>
          <w:sz w:val="20"/>
          <w:szCs w:val="20"/>
        </w:rPr>
        <w:t xml:space="preserve"> específic</w:t>
      </w:r>
      <w:r w:rsidR="0043608E" w:rsidRPr="00FA7414">
        <w:rPr>
          <w:rFonts w:ascii="Arial" w:hAnsi="Arial" w:cs="Arial"/>
          <w:sz w:val="20"/>
          <w:szCs w:val="20"/>
        </w:rPr>
        <w:t>o</w:t>
      </w:r>
      <w:r w:rsidR="00FB6E14" w:rsidRPr="00FA7414">
        <w:rPr>
          <w:rFonts w:ascii="Arial" w:hAnsi="Arial" w:cs="Arial"/>
          <w:sz w:val="20"/>
          <w:szCs w:val="20"/>
        </w:rPr>
        <w:t>, P</w:t>
      </w:r>
      <w:r w:rsidR="0043608E" w:rsidRPr="00FA7414">
        <w:rPr>
          <w:rFonts w:ascii="Arial" w:hAnsi="Arial" w:cs="Arial"/>
          <w:sz w:val="20"/>
          <w:szCs w:val="20"/>
        </w:rPr>
        <w:t>oder calorífico</w:t>
      </w:r>
      <w:r w:rsidR="00FB6E14" w:rsidRPr="00FA7414">
        <w:rPr>
          <w:rFonts w:ascii="Arial" w:hAnsi="Arial" w:cs="Arial"/>
          <w:sz w:val="20"/>
          <w:szCs w:val="20"/>
        </w:rPr>
        <w:t>,</w:t>
      </w:r>
      <w:r w:rsidR="0043608E" w:rsidRPr="00FA7414">
        <w:rPr>
          <w:rFonts w:ascii="Arial" w:hAnsi="Arial" w:cs="Arial"/>
          <w:sz w:val="20"/>
          <w:szCs w:val="20"/>
        </w:rPr>
        <w:t xml:space="preserve"> Viscosidad</w:t>
      </w:r>
      <w:r w:rsidRPr="00FA7414">
        <w:rPr>
          <w:rFonts w:ascii="Arial" w:hAnsi="Arial" w:cs="Arial"/>
          <w:sz w:val="20"/>
          <w:szCs w:val="20"/>
        </w:rPr>
        <w:t>. Motores de dos tiempos y cuatro tiempos.</w:t>
      </w:r>
      <w:r w:rsidR="00FB6E14" w:rsidRPr="00FA7414">
        <w:rPr>
          <w:rFonts w:ascii="Arial" w:hAnsi="Arial" w:cs="Arial"/>
          <w:sz w:val="20"/>
          <w:szCs w:val="20"/>
        </w:rPr>
        <w:t xml:space="preserve"> Instalación y alineación de los motores a bordo. Montaje del motor. Nivelación de la bancada. Suplementos asiento bancada.</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 Hidráulico en el buque de pesca. Equipos que lo componen. Circuitos habituales. Equipos del buque alimentados por este sistema</w:t>
      </w:r>
      <w:r w:rsidR="003567C2">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 Eléctrico en el buque de pesca. Equipos que lo componen. Circuitos habituales. Equipos del buque alimentados por este sistema. Balance eléctrico. Fuentes de energía principales y emergencia.</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Sistema de agua salada del buque de pesca. Refrigeración de motores por agua salada. Achique y contraincendios en el buque de pesca. Equipos que los componen. Circuitos habituales. </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 de ventilación y escape en el buque de pesca. Sistema de combustible. Equipos que lo componen. Circuitos habituales.</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Sistema de refrigeración de las bodegas y tanques de pesca. Descripción de funcionamiento. Equipos que lo componen. Circuitos habituales. Viveros de pesca.</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Mantenimientos del motor del buque. Mantenimiento de los servicios del buque. Mantenimiento de la estructura del buque. Plan de mantenimientos a bordo. Planificación y precauciones en los trabajos a realizar en la mar. Planificación de varadas en seco y renovación de certificados</w:t>
      </w:r>
      <w:r w:rsidR="003567C2">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Construcción naval en buques de pesca y portuarios: Madera, Poliéster reforzado con fibra de vidrio, acero, aluminio. Ventajas e inconvenientes de cada uno de ellos. Construcción y mantenimiento de cada uno de ellos.</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Tipología del buque pesquero. Características de la disposición general del buque de pesca según el tipo de pesca a realizar. Equipos y servicios que instala según el tipo de pesca. Tipología del buque portuario. Características de la disposición general y de los equipos y servicios según el tipo.</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Arqueo de buques de pesca. Arqueo TRB. Arqueo TRN. Convenio de Londres del año 1969. Arqueo GT. Arqueo NT. Reglamento UE/2017/1130. Aplicación del arqueo en el buque de pesca y portuario.   </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Estabilidad. Código internacional de estabilidad sin avería (Código IS 2008), adoptado por Resolución MSC.267(85) de la OMI: Introducción. Criterios obligatorios (Parte A): Cuestiones generales, Criterios generales y Criterios especiales para determinados tipos de buques. Recomendaciones aplicables a determinados tipos de buques y otras directrices (Parte B): Cuestiones generales, Criterios recomendados de proyecto para determinados tipos de buques, Orientaciones para elaborar la información sobre estabilidad, Cálculos de estabilidad efectuados por los instrumentos de estabilidad. </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Estabilidad del buque de pesca y portuario: Principales características de estabilidad de este tipo de buques</w:t>
      </w:r>
      <w:r w:rsidR="00FB6E14" w:rsidRPr="00FA7414">
        <w:rPr>
          <w:rFonts w:ascii="Arial" w:hAnsi="Arial" w:cs="Arial"/>
          <w:sz w:val="20"/>
          <w:szCs w:val="20"/>
        </w:rPr>
        <w:t>,</w:t>
      </w:r>
      <w:r w:rsidRPr="00FA7414">
        <w:rPr>
          <w:rFonts w:ascii="Arial" w:hAnsi="Arial" w:cs="Arial"/>
          <w:sz w:val="20"/>
          <w:szCs w:val="20"/>
        </w:rPr>
        <w:t xml:space="preserve"> Estabilidad de este tipo de buques durante sus navegaciones y maniobras.</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Estabilidad en averías. Medios de actuación ante vías de agua. Estabilidad en varadas</w:t>
      </w:r>
      <w:r w:rsidR="00A25C1F" w:rsidRPr="00FA7414">
        <w:rPr>
          <w:rFonts w:ascii="Arial" w:hAnsi="Arial" w:cs="Arial"/>
          <w:sz w:val="20"/>
          <w:szCs w:val="20"/>
        </w:rPr>
        <w:t xml:space="preserve"> y puestas a flote</w:t>
      </w:r>
      <w:r w:rsidRPr="00FA7414">
        <w:rPr>
          <w:rFonts w:ascii="Arial" w:hAnsi="Arial" w:cs="Arial"/>
          <w:sz w:val="20"/>
          <w:szCs w:val="20"/>
        </w:rPr>
        <w:t>.</w:t>
      </w:r>
    </w:p>
    <w:p w:rsidR="00B1478D" w:rsidRPr="00FA7414" w:rsidRDefault="00B1478D"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Estabilidad Transversal. Estabilidad Longitudinal. Plano de formas. Tablas hidrostáticas y </w:t>
      </w:r>
      <w:proofErr w:type="spellStart"/>
      <w:r w:rsidRPr="00FA7414">
        <w:rPr>
          <w:rFonts w:ascii="Arial" w:hAnsi="Arial" w:cs="Arial"/>
          <w:sz w:val="20"/>
          <w:szCs w:val="20"/>
        </w:rPr>
        <w:t>pantocarenas</w:t>
      </w:r>
      <w:proofErr w:type="spellEnd"/>
      <w:r w:rsidRPr="00FA7414">
        <w:rPr>
          <w:rFonts w:ascii="Arial" w:hAnsi="Arial" w:cs="Arial"/>
          <w:sz w:val="20"/>
          <w:szCs w:val="20"/>
        </w:rPr>
        <w:t xml:space="preserve">. Métodos simplificados de cálculos de estabilidad aplicados a buques de pequeño porte. Libro de estabilidad. </w:t>
      </w:r>
    </w:p>
    <w:p w:rsidR="00DE7587" w:rsidRPr="00FA7414" w:rsidRDefault="00DE758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Dinámica y maniobra del buque: Causas de los efectos evolutivos del buque. Análisis sobre la acción del timón, presión lateral de las palas, corriente de expulsión y corriente de aspiración. Efectos evolutivos combinados de timón y hélice.</w:t>
      </w:r>
    </w:p>
    <w:p w:rsidR="00DE7587" w:rsidRPr="00FA7414" w:rsidRDefault="00DE758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Dinámica y maniobra del buque: Inercias del buque. Curvas de evolución. Comportamiento del buque en aguas someras y profundas. Comportamiento del buque entre olas.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Tecnología pesquera: Potencia de arrastre de los buques. Elementos básicos en el arte de </w:t>
      </w:r>
      <w:r w:rsidR="007C42DD">
        <w:rPr>
          <w:rFonts w:ascii="Arial" w:hAnsi="Arial" w:cs="Arial"/>
          <w:sz w:val="20"/>
          <w:szCs w:val="20"/>
        </w:rPr>
        <w:t>arrastre.</w:t>
      </w:r>
      <w:r w:rsidRPr="00FA7414">
        <w:rPr>
          <w:rFonts w:ascii="Arial" w:hAnsi="Arial" w:cs="Arial"/>
          <w:sz w:val="20"/>
          <w:szCs w:val="20"/>
        </w:rPr>
        <w:t xml:space="preserve"> Proceder de los cables de arrastre.- Declinación y divergencia.- Longitud de cable a largar.- Diámetro de los cables de arrastre.- Resistencia de los cables de arrastre – Riesgos laborales de este oficio de pesca</w:t>
      </w:r>
      <w:r w:rsidR="003567C2">
        <w:rPr>
          <w:rFonts w:ascii="Arial" w:hAnsi="Arial" w:cs="Arial"/>
          <w:sz w:val="20"/>
          <w:szCs w:val="20"/>
        </w:rPr>
        <w:t>.</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Métodos de conservación del pescado: Congelación. Tempera</w:t>
      </w:r>
      <w:r w:rsidR="007C42DD">
        <w:rPr>
          <w:rFonts w:ascii="Arial" w:hAnsi="Arial" w:cs="Arial"/>
          <w:sz w:val="20"/>
          <w:szCs w:val="20"/>
        </w:rPr>
        <w:t>turas y tiempos de congelación.</w:t>
      </w:r>
      <w:r w:rsidRPr="00FA7414">
        <w:rPr>
          <w:rFonts w:ascii="Arial" w:hAnsi="Arial" w:cs="Arial"/>
          <w:sz w:val="20"/>
          <w:szCs w:val="20"/>
        </w:rPr>
        <w:t xml:space="preserve"> Deshidratación.- Desecación.- Salazón.- Ahumado.- Esterilización.- Conservas.- Subproductos.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Tecnología pesquera: Artes y aparejos. Anzuelo - Aparejos de anzuelo – Curricán – Palangre - Tipos de palangre – Elementos del palangre - Maquinillas de palangre – Maniobra de palangre – Riesgos laborales de este oficio de pesca</w:t>
      </w:r>
      <w:r w:rsidR="003567C2">
        <w:rPr>
          <w:rFonts w:ascii="Arial" w:hAnsi="Arial" w:cs="Arial"/>
          <w:sz w:val="20"/>
          <w:szCs w:val="20"/>
        </w:rPr>
        <w:t>.</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Tecnología pesquera: Artes y aparejos. Nasas – Tipos de nasas – Maniobra de largado de nasas – Almadrabas – Elementos y maniobra de la almadraba – Riesgos laborales de este oficio de pesca</w:t>
      </w:r>
      <w:r w:rsidR="003567C2">
        <w:rPr>
          <w:rFonts w:ascii="Arial" w:hAnsi="Arial" w:cs="Arial"/>
          <w:sz w:val="20"/>
          <w:szCs w:val="20"/>
        </w:rPr>
        <w:t>.</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Tecnología pesquera: Artes y aparejos. Redes – Materiales y características de las redes – Reparaciones de redes – Artes de redes de enmalle caladas a diferentes alturas</w:t>
      </w:r>
      <w:r w:rsidR="003567C2">
        <w:rPr>
          <w:rFonts w:ascii="Arial" w:hAnsi="Arial" w:cs="Arial"/>
          <w:sz w:val="20"/>
          <w:szCs w:val="20"/>
        </w:rPr>
        <w:t>.</w:t>
      </w:r>
      <w:r w:rsidRPr="00FA7414">
        <w:rPr>
          <w:rFonts w:ascii="Arial" w:hAnsi="Arial" w:cs="Arial"/>
          <w:sz w:val="20"/>
          <w:szCs w:val="20"/>
        </w:rPr>
        <w:t xml:space="preserve">    </w:t>
      </w:r>
    </w:p>
    <w:p w:rsidR="00A25C1F"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Tecnología pesquera: Artes de cerco y sus elementos: Características del arte de cerco – Cerco con jareta - Maniobras del arte de cerco – Cerco con bote auxiliar – Riesgos laborales de este oficio de pesca</w:t>
      </w:r>
      <w:r w:rsidR="003567C2">
        <w:rPr>
          <w:rFonts w:ascii="Arial" w:hAnsi="Arial" w:cs="Arial"/>
          <w:sz w:val="20"/>
          <w:szCs w:val="20"/>
        </w:rPr>
        <w:t>.</w:t>
      </w:r>
    </w:p>
    <w:p w:rsidR="003567C2" w:rsidRPr="00FA7414" w:rsidRDefault="003567C2" w:rsidP="003567C2">
      <w:pPr>
        <w:spacing w:after="120" w:line="240" w:lineRule="auto"/>
        <w:jc w:val="both"/>
        <w:outlineLvl w:val="0"/>
        <w:rPr>
          <w:rFonts w:ascii="Arial" w:hAnsi="Arial" w:cs="Arial"/>
          <w:sz w:val="20"/>
          <w:szCs w:val="20"/>
        </w:rPr>
      </w:pPr>
    </w:p>
    <w:p w:rsidR="005E3015" w:rsidRPr="003567C2" w:rsidRDefault="00B86592" w:rsidP="003567C2">
      <w:pPr>
        <w:spacing w:after="120" w:line="240" w:lineRule="auto"/>
        <w:ind w:left="142"/>
        <w:jc w:val="both"/>
        <w:outlineLvl w:val="0"/>
        <w:rPr>
          <w:rFonts w:ascii="Arial" w:hAnsi="Arial" w:cs="Arial"/>
          <w:b/>
          <w:sz w:val="20"/>
          <w:szCs w:val="20"/>
          <w:u w:val="single"/>
        </w:rPr>
      </w:pPr>
      <w:r w:rsidRPr="003567C2">
        <w:rPr>
          <w:rFonts w:ascii="Arial" w:hAnsi="Arial" w:cs="Arial"/>
          <w:b/>
          <w:sz w:val="20"/>
          <w:szCs w:val="20"/>
          <w:u w:val="single"/>
        </w:rPr>
        <w:t xml:space="preserve">BLOQUE III: </w:t>
      </w:r>
      <w:r w:rsidR="004A681E" w:rsidRPr="003567C2">
        <w:rPr>
          <w:rFonts w:ascii="Arial" w:hAnsi="Arial" w:cs="Arial"/>
          <w:b/>
          <w:sz w:val="20"/>
          <w:szCs w:val="20"/>
          <w:u w:val="single"/>
        </w:rPr>
        <w:t>SEGURIDAD,</w:t>
      </w:r>
      <w:r w:rsidR="005E3015" w:rsidRPr="003567C2">
        <w:rPr>
          <w:rFonts w:ascii="Arial" w:hAnsi="Arial" w:cs="Arial"/>
          <w:b/>
          <w:sz w:val="20"/>
          <w:szCs w:val="20"/>
          <w:u w:val="single"/>
        </w:rPr>
        <w:t xml:space="preserve"> CONTAMINACIÓN</w:t>
      </w:r>
      <w:r w:rsidR="004A681E" w:rsidRPr="003567C2">
        <w:rPr>
          <w:rFonts w:ascii="Arial" w:hAnsi="Arial" w:cs="Arial"/>
          <w:b/>
          <w:sz w:val="20"/>
          <w:szCs w:val="20"/>
          <w:u w:val="single"/>
        </w:rPr>
        <w:t xml:space="preserve"> Y COMUNICACIONES</w:t>
      </w:r>
    </w:p>
    <w:p w:rsidR="003567C2" w:rsidRPr="00FA7414" w:rsidRDefault="003567C2" w:rsidP="003567C2">
      <w:pPr>
        <w:spacing w:after="120" w:line="240" w:lineRule="auto"/>
        <w:ind w:left="142"/>
        <w:jc w:val="both"/>
        <w:outlineLvl w:val="0"/>
        <w:rPr>
          <w:rFonts w:ascii="Arial" w:hAnsi="Arial" w:cs="Arial"/>
          <w:sz w:val="20"/>
          <w:szCs w:val="20"/>
        </w:rPr>
      </w:pPr>
    </w:p>
    <w:p w:rsidR="00270064" w:rsidRPr="00FA7414" w:rsidRDefault="00270064"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Reacción al fuego de los materiales. Clasificación. Carga de fuego. Poder calorífico de algunos materiales. Incombustibilidad de materiales a bordo. Propiedades de la resistencia al fuego. Sistemas generales de extinción.</w:t>
      </w:r>
      <w:r w:rsidR="003B58B2" w:rsidRPr="00FA7414">
        <w:rPr>
          <w:rFonts w:ascii="Arial" w:hAnsi="Arial" w:cs="Arial"/>
          <w:sz w:val="20"/>
          <w:szCs w:val="20"/>
        </w:rPr>
        <w:t xml:space="preserve"> Protección del personal.</w:t>
      </w:r>
    </w:p>
    <w:p w:rsidR="00270064" w:rsidRPr="00FA7414" w:rsidRDefault="00270064"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Lucha contraincendios</w:t>
      </w:r>
      <w:r w:rsidR="00240ECC" w:rsidRPr="00FA7414">
        <w:rPr>
          <w:rFonts w:ascii="Arial" w:hAnsi="Arial" w:cs="Arial"/>
          <w:sz w:val="20"/>
          <w:szCs w:val="20"/>
        </w:rPr>
        <w:t>: Construcción - Prevención, dete</w:t>
      </w:r>
      <w:r w:rsidRPr="00FA7414">
        <w:rPr>
          <w:rFonts w:ascii="Arial" w:hAnsi="Arial" w:cs="Arial"/>
          <w:sz w:val="20"/>
          <w:szCs w:val="20"/>
        </w:rPr>
        <w:t xml:space="preserve">cción y extinción de incendios. </w:t>
      </w:r>
      <w:r w:rsidR="00240ECC" w:rsidRPr="00FA7414">
        <w:rPr>
          <w:rFonts w:ascii="Arial" w:hAnsi="Arial" w:cs="Arial"/>
          <w:sz w:val="20"/>
          <w:szCs w:val="20"/>
        </w:rPr>
        <w:t>Capítulo II-2</w:t>
      </w:r>
      <w:r w:rsidRPr="00FA7414">
        <w:rPr>
          <w:rFonts w:ascii="Arial" w:hAnsi="Arial" w:cs="Arial"/>
          <w:sz w:val="20"/>
          <w:szCs w:val="20"/>
        </w:rPr>
        <w:t xml:space="preserve"> del</w:t>
      </w:r>
      <w:r w:rsidR="00240ECC" w:rsidRPr="00FA7414">
        <w:rPr>
          <w:rFonts w:ascii="Arial" w:hAnsi="Arial" w:cs="Arial"/>
          <w:sz w:val="20"/>
          <w:szCs w:val="20"/>
        </w:rPr>
        <w:t xml:space="preserve"> SOLAS</w:t>
      </w:r>
      <w:r w:rsidRPr="00FA7414">
        <w:rPr>
          <w:rFonts w:ascii="Arial" w:hAnsi="Arial" w:cs="Arial"/>
          <w:sz w:val="20"/>
          <w:szCs w:val="20"/>
        </w:rPr>
        <w:t>.</w:t>
      </w:r>
      <w:r w:rsidR="003B58B2" w:rsidRPr="00FA7414">
        <w:rPr>
          <w:rFonts w:ascii="Arial" w:hAnsi="Arial" w:cs="Arial"/>
          <w:sz w:val="20"/>
          <w:szCs w:val="20"/>
        </w:rPr>
        <w:t xml:space="preserve"> Evacuación.</w:t>
      </w:r>
      <w:r w:rsidRPr="00FA7414">
        <w:rPr>
          <w:rFonts w:ascii="Arial" w:hAnsi="Arial" w:cs="Arial"/>
          <w:sz w:val="20"/>
          <w:szCs w:val="20"/>
        </w:rPr>
        <w:t xml:space="preserve"> Sistemas portátiles de extinción.</w:t>
      </w:r>
    </w:p>
    <w:p w:rsidR="00270064" w:rsidRPr="00FA7414" w:rsidRDefault="00270064"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Lucha contraincendios:</w:t>
      </w:r>
      <w:r w:rsidR="003B58B2" w:rsidRPr="00FA7414">
        <w:rPr>
          <w:rFonts w:ascii="Arial" w:hAnsi="Arial" w:cs="Arial"/>
          <w:sz w:val="20"/>
          <w:szCs w:val="20"/>
        </w:rPr>
        <w:t xml:space="preserve"> Sistemas fijos de extinción de incendios</w:t>
      </w:r>
      <w:r w:rsidR="004A681E" w:rsidRPr="00FA7414">
        <w:rPr>
          <w:rFonts w:ascii="Arial" w:hAnsi="Arial" w:cs="Arial"/>
          <w:sz w:val="20"/>
          <w:szCs w:val="20"/>
        </w:rPr>
        <w:t xml:space="preserve"> por agua,</w:t>
      </w:r>
      <w:r w:rsidR="003B58B2" w:rsidRPr="00FA7414">
        <w:rPr>
          <w:rFonts w:ascii="Arial" w:hAnsi="Arial" w:cs="Arial"/>
          <w:sz w:val="20"/>
          <w:szCs w:val="20"/>
        </w:rPr>
        <w:t xml:space="preserve"> por aspersión de agua a presión y por nebulización,</w:t>
      </w:r>
      <w:r w:rsidR="004A681E" w:rsidRPr="00FA7414">
        <w:rPr>
          <w:rFonts w:ascii="Arial" w:hAnsi="Arial" w:cs="Arial"/>
          <w:sz w:val="20"/>
          <w:szCs w:val="20"/>
        </w:rPr>
        <w:t xml:space="preserve"> por gases de extinción,</w:t>
      </w:r>
      <w:r w:rsidR="003B58B2" w:rsidRPr="00FA7414">
        <w:rPr>
          <w:rFonts w:ascii="Arial" w:hAnsi="Arial" w:cs="Arial"/>
          <w:sz w:val="20"/>
          <w:szCs w:val="20"/>
        </w:rPr>
        <w:t xml:space="preserve"> Sistemas automáticos de rociadores, Bombas fijas contraincendios de emergencia. Código SSCI.</w:t>
      </w:r>
    </w:p>
    <w:p w:rsidR="00017A71" w:rsidRPr="00FA7414" w:rsidRDefault="00017A71"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Construcción - Estructura, compartimentado y estabilidad, instalaciones de máquinas e instalaciones eléctricas (Capítulo II-1, SOLAS): Generalidades, Estructura de los buques, Compartimentado y estabilidad, integridad de estanquidad e integridad a la intemperie, Asignación de las líneas de carga de compartimentado para los buques de pasaje y Gestión de la estabilidad</w:t>
      </w:r>
      <w:r w:rsidR="003567C2">
        <w:rPr>
          <w:rFonts w:ascii="Arial" w:hAnsi="Arial" w:cs="Arial"/>
          <w:sz w:val="20"/>
          <w:szCs w:val="20"/>
        </w:rPr>
        <w:t>.</w:t>
      </w:r>
    </w:p>
    <w:p w:rsidR="006609F8" w:rsidRPr="00FA7414" w:rsidRDefault="003B58B2"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Seguridad marítima</w:t>
      </w:r>
      <w:r w:rsidR="00240ECC" w:rsidRPr="00FA7414">
        <w:rPr>
          <w:rFonts w:ascii="Arial" w:hAnsi="Arial" w:cs="Arial"/>
          <w:sz w:val="20"/>
          <w:szCs w:val="20"/>
        </w:rPr>
        <w:t>: Código internacional de dispositivos de salvamento (Código IDS), adoptado por Resolución MSC.48(66) de la OMI: Disposiciones generales, Dispositivos individuales de salvamento, Señales visuales</w:t>
      </w:r>
      <w:r w:rsidR="0038387E" w:rsidRPr="00FA7414">
        <w:rPr>
          <w:rFonts w:ascii="Arial" w:hAnsi="Arial" w:cs="Arial"/>
          <w:sz w:val="20"/>
          <w:szCs w:val="20"/>
        </w:rPr>
        <w:t>.</w:t>
      </w:r>
      <w:r w:rsidR="00240ECC" w:rsidRPr="00FA7414">
        <w:rPr>
          <w:rFonts w:ascii="Arial" w:hAnsi="Arial" w:cs="Arial"/>
          <w:sz w:val="20"/>
          <w:szCs w:val="20"/>
        </w:rPr>
        <w:t xml:space="preserve"> </w:t>
      </w:r>
    </w:p>
    <w:p w:rsidR="00240ECC" w:rsidRPr="00FA7414" w:rsidRDefault="0038387E"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Seguridad marítima: Código internacional de dispositivos de salvamento (Código IDS), adoptado por Resolución MSC.48(66) de la OMI: </w:t>
      </w:r>
      <w:r w:rsidR="00240ECC" w:rsidRPr="00FA7414">
        <w:rPr>
          <w:rFonts w:ascii="Arial" w:hAnsi="Arial" w:cs="Arial"/>
          <w:sz w:val="20"/>
          <w:szCs w:val="20"/>
        </w:rPr>
        <w:t xml:space="preserve">Embarcaciones de supervivencia, Botes de rescate, Dispositivos </w:t>
      </w:r>
      <w:r w:rsidRPr="00FA7414">
        <w:rPr>
          <w:rFonts w:ascii="Arial" w:hAnsi="Arial" w:cs="Arial"/>
          <w:sz w:val="20"/>
          <w:szCs w:val="20"/>
        </w:rPr>
        <w:t>de puesta a flote y de embarco</w:t>
      </w:r>
      <w:r w:rsidR="00240ECC" w:rsidRPr="00FA7414">
        <w:rPr>
          <w:rFonts w:ascii="Arial" w:hAnsi="Arial" w:cs="Arial"/>
          <w:sz w:val="20"/>
          <w:szCs w:val="20"/>
        </w:rPr>
        <w:t>.</w:t>
      </w:r>
    </w:p>
    <w:p w:rsidR="00017A71" w:rsidRPr="00FA7414" w:rsidRDefault="00017A71"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Formación a bordo</w:t>
      </w:r>
      <w:r w:rsidR="004A681E" w:rsidRPr="00FA7414">
        <w:rPr>
          <w:rFonts w:ascii="Arial" w:hAnsi="Arial" w:cs="Arial"/>
          <w:sz w:val="20"/>
          <w:szCs w:val="20"/>
        </w:rPr>
        <w:t xml:space="preserve"> en seguridad</w:t>
      </w:r>
      <w:r w:rsidRPr="00FA7414">
        <w:rPr>
          <w:rFonts w:ascii="Arial" w:hAnsi="Arial" w:cs="Arial"/>
          <w:sz w:val="20"/>
          <w:szCs w:val="20"/>
        </w:rPr>
        <w:t>. Gestión de la seguridad operacional de los buques (Capítulo IX, SOLAS): Reglas. Código internacional de gestión de la seguridad (Código IGS), aprobado por la Resolución A.741(18) de la OMI: Implantación (Parte A), Certificación y verificación (Parte B) y Apéndice</w:t>
      </w:r>
      <w:r w:rsidR="003567C2">
        <w:rPr>
          <w:rFonts w:ascii="Arial" w:hAnsi="Arial" w:cs="Arial"/>
          <w:sz w:val="20"/>
          <w:szCs w:val="20"/>
        </w:rPr>
        <w:t>.</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Convenio internacional de Torremolinos para la seguridad de los buques pesqueros (SFV), 1977, modificado por el Protocolo de Torremolinos de 1993 relativo al Convenio SFV: Articulados y Reglas para la construcción y el equipo de los buques pesqueros (Anexo): Disposiciones generales, Construcción, integridad de estanquidad y equipo, Estabilidad y navegabilidad, Instalaciones de máquinas e instalaciones eléctricas y espacios de máquinas sin dotación permanente, Prevención, detección y extinción de incendios y equipo contra incendios, Protección de la tripulación, Dispositivos de salvamento, Consignas para casos de emergencia, llamadas y ejercicios periódicos, Radiocomunicaciones, Aparatos y medios náuticos de a bordo y Apéndice. Acuerdo de Ciudad del Cabo de 2012 sobre la implantación de las disposiciones del Protocolo de Torremolinos de 1993 relativo al Convenio internacional de Torremolinos para la seguridad de los buques pesqueros, 1977.</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Real Decreto 1032/1999, de 18 de junio, por el que se determinan las normas de seguridad a cumplir por los buques pesqueros de eslora igual o superior a 24 metros. Real Decreto 543/2007, de 27 de abril, por el que se determinan las normas de seguridad y de prevención de la contaminación a cumplir por los buques pesqueros menores de 24 metros de eslora (L): Disposiciones generales, Normas técnicas, marco de seguridad y prevención de la contaminación, Inspecciones, reconocimientos, certificaciones y régimen sancionador y Anexos.</w:t>
      </w:r>
    </w:p>
    <w:p w:rsidR="005E3015" w:rsidRPr="00FA7414" w:rsidRDefault="005E3015"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Real Decreto 1661/1982, de 25 de junio, por el que se declaran de aplicación a todos los buques y embarcaciones mercantes nacionales los preceptos del Convenio Internacional para la Seguridad de la Vida Humana en el Mar, 1974, y su protocolo de 1978. Aplicación a los buques de aguas abrigadas y portuarios de la Orden de 10 de junio de 1983 sobre normas complementarias de aplicación al Convenio Internacional para la Seguridad de la Vida Humana en el Mar, 1974, y su Protocolo de 1978, a los buques y embarcaciones mercantes nacionales.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MARPOL: Convenio Internacional para prevenir la contaminación por los buques (MARPOL), 1973: Articulado. Protocolo de 1997 que enmienda el Convenio MARPOL. Anexo I: Generalidades. Reconocimientos y certificación. Prescripciones aplicables a los espacios de máquinas de todos los buques: Construcción, Equipo y Control de las descargas operacionales de hidrocarburos.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MARPOL: Reglas para prevenir la contaminación por las basuras de los buques (Anexo V, MARPOL): Generalidades y Apéndice. Directrices de 2012 para la implantación del anexo V del Convenio MARPOL, aprobadas por Resolución MEPC.219(63) de la OMI: Introducción, Gestión de basuras, Gestión de residuos de cargas sólidas a granel, Formación, instrucción e información, Instalaciones portuarias de recepción de basuras y Mejora del cumplimiento del anexo V del convenio MARPOL. Texto Refundido de la Ley de Puertos del Estado y de la Marina Mercante, aprobado por Real Decreto Legislativo 2/2011, de 5 de septiembre: Servicio de recepción de desechos generados por buques (Artículos 63 y 132). Real Decreto 1381/2002, de 20 de diciembre, sobre instalaciones portuarias de recepción de desechos generados por los buques y residuos de carga. Orden FOM/1392/2004, de 13 de mayo, relativa a la notificación y entrega de desechos generados por los buques</w:t>
      </w:r>
      <w:r w:rsidR="003567C2">
        <w:rPr>
          <w:rFonts w:ascii="Arial" w:hAnsi="Arial" w:cs="Arial"/>
          <w:sz w:val="20"/>
          <w:szCs w:val="20"/>
        </w:rPr>
        <w:t>.</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MARPOL: Reglas para prevenir la contaminación atmosférica ocasionada por los buques (Anexo VI, MARPOL): Generalidades, Reconocimiento, certificación y medios de control, Prescripciones para el control de las emisiones de los buques, reglas sobre la eficiencia energética de los buques y apéndices.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Seguridad </w:t>
      </w:r>
      <w:r w:rsidR="004A681E" w:rsidRPr="00FA7414">
        <w:rPr>
          <w:rFonts w:ascii="Arial" w:hAnsi="Arial" w:cs="Arial"/>
          <w:sz w:val="20"/>
          <w:szCs w:val="20"/>
        </w:rPr>
        <w:t>marítima y protección del buque:</w:t>
      </w:r>
      <w:r w:rsidRPr="00FA7414">
        <w:rPr>
          <w:rFonts w:ascii="Arial" w:hAnsi="Arial" w:cs="Arial"/>
          <w:sz w:val="20"/>
          <w:szCs w:val="20"/>
        </w:rPr>
        <w:t xml:space="preserve"> Mantenimiento y supervisión en la implantación de un plan de protección del buque: Plan de protección del buque: propósito, elementos, estructura, procedimientos conexos y mantenimiento de registros, incluidos los relacionados con la piratería y los robos a mano armada. Procedimientos para implantar el plan de protección y notificación de sucesos que afecten a la protección. Conocimiento de los niveles de protección marítima, medidas de protección correspondientes y procedimientos aplicables a bordo y en el entorno de instalaciones portuarias.</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Seguridad marítima y protección del buque</w:t>
      </w:r>
      <w:r w:rsidR="004A681E" w:rsidRPr="00FA7414">
        <w:rPr>
          <w:rFonts w:ascii="Arial" w:hAnsi="Arial" w:cs="Arial"/>
          <w:sz w:val="20"/>
          <w:szCs w:val="20"/>
        </w:rPr>
        <w:t>:</w:t>
      </w:r>
      <w:r w:rsidRPr="00FA7414">
        <w:rPr>
          <w:rFonts w:ascii="Arial" w:hAnsi="Arial" w:cs="Arial"/>
          <w:sz w:val="20"/>
          <w:szCs w:val="20"/>
        </w:rPr>
        <w:t xml:space="preserve"> Evaluación de los riesgos, amenazas y la vulnerabilidad del buque: Evaluación de riesgos; instrumentos de evaluación y documentos para evaluar la protección, incluida la Declaración de Protección. </w:t>
      </w:r>
    </w:p>
    <w:p w:rsidR="00A25C1F" w:rsidRPr="00FA7414" w:rsidRDefault="00A25C1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Seguridad marítima y protección del buque</w:t>
      </w:r>
      <w:r w:rsidR="004A681E" w:rsidRPr="00FA7414">
        <w:rPr>
          <w:rFonts w:ascii="Arial" w:hAnsi="Arial" w:cs="Arial"/>
          <w:sz w:val="20"/>
          <w:szCs w:val="20"/>
        </w:rPr>
        <w:t>:</w:t>
      </w:r>
      <w:r w:rsidRPr="00FA7414">
        <w:rPr>
          <w:rFonts w:ascii="Arial" w:hAnsi="Arial" w:cs="Arial"/>
          <w:sz w:val="20"/>
          <w:szCs w:val="20"/>
        </w:rPr>
        <w:t xml:space="preserve"> </w:t>
      </w:r>
      <w:r w:rsidR="00E04F77" w:rsidRPr="00FA7414">
        <w:rPr>
          <w:rFonts w:ascii="Arial" w:hAnsi="Arial" w:cs="Arial"/>
          <w:sz w:val="20"/>
          <w:szCs w:val="20"/>
        </w:rPr>
        <w:t xml:space="preserve">Inspecciones periódicas del buque para asegurarse de que se aplican y mantienen las medidas adoptadas -  </w:t>
      </w:r>
      <w:r w:rsidRPr="00FA7414">
        <w:rPr>
          <w:rFonts w:ascii="Arial" w:hAnsi="Arial" w:cs="Arial"/>
          <w:sz w:val="20"/>
          <w:szCs w:val="20"/>
        </w:rPr>
        <w:t>Protección y vigilancia: Ejercicios y prácticas prescritos en los convenios, códigos y circulares pertinentes de la OMI, en particular los relacionados con la piratería y los robos a mano armada.</w:t>
      </w:r>
    </w:p>
    <w:p w:rsidR="00322B7F" w:rsidRPr="00FA7414" w:rsidRDefault="00322B7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lastRenderedPageBreak/>
        <w:t>Búsqueda y salvamento: Manuales OMI de búsqueda y salvamento. Aspecto organizativo Global de un SAR. Planificación de un servicio SAR. Selección de los medios que compongan las unidades SAR Comunicaciones SAR. Formato normalizado de notificación de contingencias (SITREP). Métodos de búsqueda.</w:t>
      </w:r>
    </w:p>
    <w:p w:rsidR="00322B7F" w:rsidRPr="00FA7414" w:rsidRDefault="00322B7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Hombre al agua</w:t>
      </w:r>
      <w:r w:rsidR="004A681E" w:rsidRPr="00FA7414">
        <w:rPr>
          <w:rFonts w:ascii="Arial" w:hAnsi="Arial" w:cs="Arial"/>
          <w:sz w:val="20"/>
          <w:szCs w:val="20"/>
        </w:rPr>
        <w:t>:</w:t>
      </w:r>
      <w:r w:rsidRPr="00FA7414">
        <w:rPr>
          <w:rFonts w:ascii="Arial" w:hAnsi="Arial" w:cs="Arial"/>
          <w:sz w:val="20"/>
          <w:szCs w:val="20"/>
        </w:rPr>
        <w:t xml:space="preserve"> Acciones inmediatas. Acciones relacionadas con la maniobra. Acciones a cada tipo de situación (Inmediata, diferida, persona desaparecida). Operaciones Helicóptero/Buque. Preparación del buque. Señales buque/helicóptero. Transbordo de personas desde un buque al helicóptero. Operaciones de aterrizaje y suspensión. Cargas suspendidas.</w:t>
      </w:r>
    </w:p>
    <w:p w:rsidR="0069236F" w:rsidRPr="00FA7414" w:rsidRDefault="0069236F"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 xml:space="preserve">Sistema Mundial de Socorro y Seguridad Marítima: Generalidades, zonas, funciones del </w:t>
      </w:r>
      <w:r w:rsidR="00C06303" w:rsidRPr="00FA7414">
        <w:rPr>
          <w:rFonts w:ascii="Arial" w:hAnsi="Arial" w:cs="Arial"/>
          <w:sz w:val="20"/>
          <w:szCs w:val="20"/>
        </w:rPr>
        <w:t>SMSSM,</w:t>
      </w:r>
      <w:r w:rsidRPr="00FA7414">
        <w:rPr>
          <w:rFonts w:ascii="Arial" w:hAnsi="Arial" w:cs="Arial"/>
          <w:sz w:val="20"/>
          <w:szCs w:val="20"/>
        </w:rPr>
        <w:t xml:space="preserve"> </w:t>
      </w:r>
      <w:r w:rsidR="00C06303" w:rsidRPr="00FA7414">
        <w:rPr>
          <w:rFonts w:ascii="Arial" w:hAnsi="Arial" w:cs="Arial"/>
          <w:sz w:val="20"/>
          <w:szCs w:val="20"/>
        </w:rPr>
        <w:t>medios y</w:t>
      </w:r>
      <w:r w:rsidRPr="00FA7414">
        <w:rPr>
          <w:rFonts w:ascii="Arial" w:hAnsi="Arial" w:cs="Arial"/>
          <w:sz w:val="20"/>
          <w:szCs w:val="20"/>
        </w:rPr>
        <w:t xml:space="preserve"> dispositivos usados en el SMSSM, el sistema de llamada digital (concepto básico y funcionamiento), el número de identificación del servicio móvil marítimo, procedimientos operacionales, alertas de socorro, acuse de recibo, transmisión de alerta de socorro de otro buque.</w:t>
      </w:r>
    </w:p>
    <w:p w:rsidR="0069236F" w:rsidRPr="00FA7414" w:rsidRDefault="00E04F7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 Mundial de Socorro y Seguridad Marítima</w:t>
      </w:r>
      <w:r w:rsidR="0069236F" w:rsidRPr="00FA7414">
        <w:rPr>
          <w:rFonts w:ascii="Arial" w:hAnsi="Arial" w:cs="Arial"/>
          <w:sz w:val="20"/>
          <w:szCs w:val="20"/>
        </w:rPr>
        <w:t xml:space="preserve">: </w:t>
      </w:r>
      <w:r w:rsidRPr="00FA7414">
        <w:rPr>
          <w:rFonts w:ascii="Arial" w:hAnsi="Arial" w:cs="Arial"/>
          <w:sz w:val="20"/>
          <w:szCs w:val="20"/>
        </w:rPr>
        <w:t xml:space="preserve">Tipos de comunicaciones en el servicio móvil marítimo. Correspondencia pública. Tipos de estaciones en el servicio móvil marítimo. Conocimientos elementales de frecuencias y bandas de frecuencias. Características de las frecuencias: Diferentes mecanismos de propagación. </w:t>
      </w:r>
      <w:r w:rsidR="0069236F" w:rsidRPr="00FA7414">
        <w:rPr>
          <w:rFonts w:ascii="Arial" w:hAnsi="Arial" w:cs="Arial"/>
          <w:sz w:val="20"/>
          <w:szCs w:val="20"/>
        </w:rPr>
        <w:t>Partes de la comunicación por radio, procedimientos operacionales de manejo de VHF</w:t>
      </w:r>
      <w:r w:rsidRPr="00FA7414">
        <w:rPr>
          <w:rFonts w:ascii="Arial" w:hAnsi="Arial" w:cs="Arial"/>
          <w:sz w:val="20"/>
          <w:szCs w:val="20"/>
        </w:rPr>
        <w:t xml:space="preserve"> / HF / MF y LSD</w:t>
      </w:r>
      <w:r w:rsidR="0069236F" w:rsidRPr="00FA7414">
        <w:rPr>
          <w:rFonts w:ascii="Arial" w:hAnsi="Arial" w:cs="Arial"/>
          <w:sz w:val="20"/>
          <w:szCs w:val="20"/>
        </w:rPr>
        <w:t>,</w:t>
      </w:r>
      <w:r w:rsidRPr="00FA7414">
        <w:rPr>
          <w:rFonts w:ascii="Arial" w:hAnsi="Arial" w:cs="Arial"/>
          <w:sz w:val="20"/>
          <w:szCs w:val="20"/>
        </w:rPr>
        <w:t xml:space="preserve"> procedimientos </w:t>
      </w:r>
      <w:r w:rsidR="0069236F" w:rsidRPr="00FA7414">
        <w:rPr>
          <w:rFonts w:ascii="Arial" w:hAnsi="Arial" w:cs="Arial"/>
          <w:sz w:val="20"/>
          <w:szCs w:val="20"/>
        </w:rPr>
        <w:t>operacionales para las comunicaciones de socorro, urgencia y seguridad.</w:t>
      </w:r>
    </w:p>
    <w:p w:rsidR="0069236F" w:rsidRPr="00FA7414" w:rsidRDefault="00E04F7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Comunicaciones por satélite</w:t>
      </w:r>
      <w:r w:rsidR="0069236F" w:rsidRPr="00FA7414">
        <w:rPr>
          <w:rFonts w:ascii="Arial" w:hAnsi="Arial" w:cs="Arial"/>
          <w:sz w:val="20"/>
          <w:szCs w:val="20"/>
        </w:rPr>
        <w:t xml:space="preserve">:  El sistema </w:t>
      </w:r>
      <w:proofErr w:type="spellStart"/>
      <w:r w:rsidR="0069236F" w:rsidRPr="00FA7414">
        <w:rPr>
          <w:rFonts w:ascii="Arial" w:hAnsi="Arial" w:cs="Arial"/>
          <w:sz w:val="20"/>
          <w:szCs w:val="20"/>
        </w:rPr>
        <w:t>Inmarsat</w:t>
      </w:r>
      <w:proofErr w:type="spellEnd"/>
      <w:r w:rsidR="0069236F" w:rsidRPr="00FA7414">
        <w:rPr>
          <w:rFonts w:ascii="Arial" w:hAnsi="Arial" w:cs="Arial"/>
          <w:sz w:val="20"/>
          <w:szCs w:val="20"/>
        </w:rPr>
        <w:t xml:space="preserve"> (concepto </w:t>
      </w:r>
      <w:r w:rsidR="00C06303" w:rsidRPr="00FA7414">
        <w:rPr>
          <w:rFonts w:ascii="Arial" w:hAnsi="Arial" w:cs="Arial"/>
          <w:sz w:val="20"/>
          <w:szCs w:val="20"/>
        </w:rPr>
        <w:t>general)</w:t>
      </w:r>
      <w:r w:rsidR="0069236F" w:rsidRPr="00FA7414">
        <w:rPr>
          <w:rFonts w:ascii="Arial" w:hAnsi="Arial" w:cs="Arial"/>
          <w:sz w:val="20"/>
          <w:szCs w:val="20"/>
        </w:rPr>
        <w:t xml:space="preserve">, </w:t>
      </w:r>
      <w:proofErr w:type="spellStart"/>
      <w:r w:rsidR="0069236F" w:rsidRPr="00FA7414">
        <w:rPr>
          <w:rFonts w:ascii="Arial" w:hAnsi="Arial" w:cs="Arial"/>
          <w:sz w:val="20"/>
          <w:szCs w:val="20"/>
        </w:rPr>
        <w:t>Inmarsat</w:t>
      </w:r>
      <w:proofErr w:type="spellEnd"/>
      <w:r w:rsidR="0069236F" w:rsidRPr="00FA7414">
        <w:rPr>
          <w:rFonts w:ascii="Arial" w:hAnsi="Arial" w:cs="Arial"/>
          <w:sz w:val="20"/>
          <w:szCs w:val="20"/>
        </w:rPr>
        <w:t xml:space="preserve"> </w:t>
      </w:r>
      <w:r w:rsidR="00C06303" w:rsidRPr="00FA7414">
        <w:rPr>
          <w:rFonts w:ascii="Arial" w:hAnsi="Arial" w:cs="Arial"/>
          <w:sz w:val="20"/>
          <w:szCs w:val="20"/>
        </w:rPr>
        <w:t>C,</w:t>
      </w:r>
      <w:r w:rsidR="0069236F" w:rsidRPr="00FA7414">
        <w:rPr>
          <w:rFonts w:ascii="Arial" w:hAnsi="Arial" w:cs="Arial"/>
          <w:sz w:val="20"/>
          <w:szCs w:val="20"/>
        </w:rPr>
        <w:t xml:space="preserve"> el sistema de llamada intensificada a grupos (LIG). el </w:t>
      </w:r>
      <w:proofErr w:type="spellStart"/>
      <w:r w:rsidR="0069236F" w:rsidRPr="00FA7414">
        <w:rPr>
          <w:rFonts w:ascii="Arial" w:hAnsi="Arial" w:cs="Arial"/>
          <w:sz w:val="20"/>
          <w:szCs w:val="20"/>
        </w:rPr>
        <w:t>Ship</w:t>
      </w:r>
      <w:proofErr w:type="spellEnd"/>
      <w:r w:rsidR="0069236F" w:rsidRPr="00FA7414">
        <w:rPr>
          <w:rFonts w:ascii="Arial" w:hAnsi="Arial" w:cs="Arial"/>
          <w:sz w:val="20"/>
          <w:szCs w:val="20"/>
        </w:rPr>
        <w:t xml:space="preserve"> Security </w:t>
      </w:r>
      <w:proofErr w:type="spellStart"/>
      <w:r w:rsidR="0069236F" w:rsidRPr="00FA7414">
        <w:rPr>
          <w:rFonts w:ascii="Arial" w:hAnsi="Arial" w:cs="Arial"/>
          <w:sz w:val="20"/>
          <w:szCs w:val="20"/>
        </w:rPr>
        <w:t>Alert</w:t>
      </w:r>
      <w:proofErr w:type="spellEnd"/>
      <w:r w:rsidR="0069236F" w:rsidRPr="00FA7414">
        <w:rPr>
          <w:rFonts w:ascii="Arial" w:hAnsi="Arial" w:cs="Arial"/>
          <w:sz w:val="20"/>
          <w:szCs w:val="20"/>
        </w:rPr>
        <w:t xml:space="preserve"> </w:t>
      </w:r>
      <w:proofErr w:type="spellStart"/>
      <w:r w:rsidR="0069236F" w:rsidRPr="00FA7414">
        <w:rPr>
          <w:rFonts w:ascii="Arial" w:hAnsi="Arial" w:cs="Arial"/>
          <w:sz w:val="20"/>
          <w:szCs w:val="20"/>
        </w:rPr>
        <w:t>System</w:t>
      </w:r>
      <w:proofErr w:type="spellEnd"/>
      <w:r w:rsidR="0069236F" w:rsidRPr="00FA7414">
        <w:rPr>
          <w:rFonts w:ascii="Arial" w:hAnsi="Arial" w:cs="Arial"/>
          <w:sz w:val="20"/>
          <w:szCs w:val="20"/>
        </w:rPr>
        <w:t xml:space="preserve"> (SSAS)</w:t>
      </w:r>
      <w:r w:rsidRPr="00FA7414">
        <w:rPr>
          <w:rFonts w:ascii="Arial" w:hAnsi="Arial" w:cs="Arial"/>
          <w:sz w:val="20"/>
          <w:szCs w:val="20"/>
        </w:rPr>
        <w:t xml:space="preserve">, procedimientos operacionales para comunicaciones a través de </w:t>
      </w:r>
      <w:proofErr w:type="spellStart"/>
      <w:r w:rsidRPr="00FA7414">
        <w:rPr>
          <w:rFonts w:ascii="Arial" w:hAnsi="Arial" w:cs="Arial"/>
          <w:sz w:val="20"/>
          <w:szCs w:val="20"/>
        </w:rPr>
        <w:t>Inmarsat</w:t>
      </w:r>
      <w:proofErr w:type="spellEnd"/>
      <w:r w:rsidR="0069236F" w:rsidRPr="00FA7414">
        <w:rPr>
          <w:rFonts w:ascii="Arial" w:hAnsi="Arial" w:cs="Arial"/>
          <w:sz w:val="20"/>
          <w:szCs w:val="20"/>
        </w:rPr>
        <w:t xml:space="preserve">. El servicio mundial de </w:t>
      </w:r>
      <w:proofErr w:type="spellStart"/>
      <w:r w:rsidR="0069236F" w:rsidRPr="00FA7414">
        <w:rPr>
          <w:rFonts w:ascii="Arial" w:hAnsi="Arial" w:cs="Arial"/>
          <w:sz w:val="20"/>
          <w:szCs w:val="20"/>
        </w:rPr>
        <w:t>radioavisos</w:t>
      </w:r>
      <w:proofErr w:type="spellEnd"/>
      <w:r w:rsidR="0069236F" w:rsidRPr="00FA7414">
        <w:rPr>
          <w:rFonts w:ascii="Arial" w:hAnsi="Arial" w:cs="Arial"/>
          <w:sz w:val="20"/>
          <w:szCs w:val="20"/>
        </w:rPr>
        <w:t xml:space="preserve"> náuticos, NAVAREAS y METAREAS el sistema NAVTEX</w:t>
      </w:r>
      <w:r w:rsidRPr="00FA7414">
        <w:rPr>
          <w:rFonts w:ascii="Arial" w:hAnsi="Arial" w:cs="Arial"/>
          <w:sz w:val="20"/>
          <w:szCs w:val="20"/>
        </w:rPr>
        <w:t>, procedimientos operacionales de NAVTEX.</w:t>
      </w:r>
      <w:r w:rsidR="0069236F" w:rsidRPr="00FA7414">
        <w:rPr>
          <w:rFonts w:ascii="Arial" w:hAnsi="Arial" w:cs="Arial"/>
          <w:sz w:val="20"/>
          <w:szCs w:val="20"/>
        </w:rPr>
        <w:t xml:space="preserve"> </w:t>
      </w:r>
    </w:p>
    <w:p w:rsidR="0069236F" w:rsidRPr="00FA7414" w:rsidRDefault="004A681E"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El Sistema COSPAS – SARSAT:</w:t>
      </w:r>
      <w:r w:rsidR="0069236F" w:rsidRPr="00FA7414">
        <w:rPr>
          <w:rFonts w:ascii="Arial" w:hAnsi="Arial" w:cs="Arial"/>
          <w:sz w:val="20"/>
          <w:szCs w:val="20"/>
        </w:rPr>
        <w:t xml:space="preserve"> Concepto general y configuración, </w:t>
      </w:r>
      <w:r w:rsidR="00C06303" w:rsidRPr="00FA7414">
        <w:rPr>
          <w:rFonts w:ascii="Arial" w:hAnsi="Arial" w:cs="Arial"/>
          <w:sz w:val="20"/>
          <w:szCs w:val="20"/>
        </w:rPr>
        <w:t>satélites,</w:t>
      </w:r>
      <w:r w:rsidR="0069236F" w:rsidRPr="00FA7414">
        <w:rPr>
          <w:rFonts w:ascii="Arial" w:hAnsi="Arial" w:cs="Arial"/>
          <w:sz w:val="20"/>
          <w:szCs w:val="20"/>
        </w:rPr>
        <w:t xml:space="preserve"> estaciones y </w:t>
      </w:r>
      <w:r w:rsidR="00C06303" w:rsidRPr="00FA7414">
        <w:rPr>
          <w:rFonts w:ascii="Arial" w:hAnsi="Arial" w:cs="Arial"/>
          <w:sz w:val="20"/>
          <w:szCs w:val="20"/>
        </w:rPr>
        <w:t>radiobalizas.</w:t>
      </w:r>
      <w:r w:rsidR="0069236F" w:rsidRPr="00FA7414">
        <w:rPr>
          <w:rFonts w:ascii="Arial" w:hAnsi="Arial" w:cs="Arial"/>
          <w:sz w:val="20"/>
          <w:szCs w:val="20"/>
        </w:rPr>
        <w:t xml:space="preserve"> Funcionamiento, mantenimiento, activación y componentes de la radiobaliza. Respondedores de Radar SART, Respondedores AIS-SART, equipos portátiles de VHF, VHF en banda aérea.</w:t>
      </w:r>
    </w:p>
    <w:p w:rsidR="0069236F" w:rsidRPr="00FA7414" w:rsidRDefault="00E04F77" w:rsidP="003567C2">
      <w:pPr>
        <w:numPr>
          <w:ilvl w:val="0"/>
          <w:numId w:val="3"/>
        </w:numPr>
        <w:tabs>
          <w:tab w:val="num" w:pos="1247"/>
        </w:tabs>
        <w:spacing w:after="120" w:line="240" w:lineRule="auto"/>
        <w:ind w:left="1247" w:hanging="1247"/>
        <w:jc w:val="both"/>
        <w:outlineLvl w:val="0"/>
        <w:rPr>
          <w:rFonts w:ascii="Arial" w:hAnsi="Arial" w:cs="Arial"/>
          <w:sz w:val="20"/>
          <w:szCs w:val="20"/>
        </w:rPr>
      </w:pPr>
      <w:r w:rsidRPr="00FA7414">
        <w:rPr>
          <w:rFonts w:ascii="Arial" w:hAnsi="Arial" w:cs="Arial"/>
          <w:sz w:val="20"/>
          <w:szCs w:val="20"/>
        </w:rPr>
        <w:t>Sistema Mundial de Socorro y Seguridad Marítima: Partes principales</w:t>
      </w:r>
      <w:r w:rsidR="00B86592" w:rsidRPr="00FA7414">
        <w:rPr>
          <w:rFonts w:ascii="Arial" w:hAnsi="Arial" w:cs="Arial"/>
          <w:sz w:val="20"/>
          <w:szCs w:val="20"/>
        </w:rPr>
        <w:t xml:space="preserve"> del sistema a bordo y</w:t>
      </w:r>
      <w:r w:rsidRPr="00FA7414">
        <w:rPr>
          <w:rFonts w:ascii="Arial" w:hAnsi="Arial" w:cs="Arial"/>
          <w:sz w:val="20"/>
          <w:szCs w:val="20"/>
        </w:rPr>
        <w:t xml:space="preserve"> de </w:t>
      </w:r>
      <w:r w:rsidR="00B86592" w:rsidRPr="00FA7414">
        <w:rPr>
          <w:rFonts w:ascii="Arial" w:hAnsi="Arial" w:cs="Arial"/>
          <w:sz w:val="20"/>
          <w:szCs w:val="20"/>
        </w:rPr>
        <w:t>sus</w:t>
      </w:r>
      <w:r w:rsidRPr="00FA7414">
        <w:rPr>
          <w:rFonts w:ascii="Arial" w:hAnsi="Arial" w:cs="Arial"/>
          <w:sz w:val="20"/>
          <w:szCs w:val="20"/>
        </w:rPr>
        <w:t xml:space="preserve"> equipos, fallos más comunes de los equipos, material y mantenimiento, tipos de antenas de comunicaciones de los buques, fuentes de energía de los equipos de radiocomunicación, baterías para equipos de radio</w:t>
      </w:r>
      <w:r w:rsidR="003F35A9" w:rsidRPr="00FA7414">
        <w:rPr>
          <w:rFonts w:ascii="Arial" w:hAnsi="Arial" w:cs="Arial"/>
          <w:sz w:val="20"/>
          <w:szCs w:val="20"/>
        </w:rPr>
        <w:t>.</w:t>
      </w:r>
    </w:p>
    <w:p w:rsidR="003F35A9" w:rsidRDefault="003F35A9" w:rsidP="003567C2">
      <w:pPr>
        <w:spacing w:after="120" w:line="240" w:lineRule="auto"/>
        <w:ind w:left="1247"/>
        <w:jc w:val="both"/>
        <w:outlineLvl w:val="0"/>
        <w:rPr>
          <w:rFonts w:ascii="Arial" w:hAnsi="Arial" w:cs="Arial"/>
          <w:sz w:val="20"/>
          <w:szCs w:val="20"/>
        </w:rPr>
      </w:pPr>
    </w:p>
    <w:p w:rsidR="003F35A9" w:rsidRPr="00C06303" w:rsidRDefault="003F35A9" w:rsidP="003567C2">
      <w:pPr>
        <w:spacing w:after="120" w:line="240" w:lineRule="auto"/>
        <w:jc w:val="both"/>
        <w:outlineLvl w:val="0"/>
        <w:rPr>
          <w:rFonts w:ascii="Arial" w:hAnsi="Arial" w:cs="Arial"/>
          <w:sz w:val="20"/>
          <w:szCs w:val="20"/>
        </w:rPr>
      </w:pPr>
    </w:p>
    <w:sectPr w:rsidR="003F35A9" w:rsidRPr="00C06303" w:rsidSect="004251F5">
      <w:headerReference w:type="default" r:id="rId8"/>
      <w:pgSz w:w="11906" w:h="16838"/>
      <w:pgMar w:top="1417" w:right="99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656" w:rsidRDefault="00AE3656" w:rsidP="00AE3656">
      <w:pPr>
        <w:spacing w:after="0" w:line="240" w:lineRule="auto"/>
      </w:pPr>
      <w:r>
        <w:separator/>
      </w:r>
    </w:p>
  </w:endnote>
  <w:endnote w:type="continuationSeparator" w:id="0">
    <w:p w:rsidR="00AE3656" w:rsidRDefault="00AE3656" w:rsidP="00AE3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656" w:rsidRDefault="00AE3656" w:rsidP="00AE3656">
      <w:pPr>
        <w:spacing w:after="0" w:line="240" w:lineRule="auto"/>
      </w:pPr>
      <w:r>
        <w:separator/>
      </w:r>
    </w:p>
  </w:footnote>
  <w:footnote w:type="continuationSeparator" w:id="0">
    <w:p w:rsidR="00AE3656" w:rsidRDefault="00AE3656" w:rsidP="00AE36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966"/>
    </w:tblGrid>
    <w:tr w:rsidR="00AF196F" w:rsidTr="004251F5">
      <w:tc>
        <w:tcPr>
          <w:tcW w:w="4248" w:type="dxa"/>
        </w:tcPr>
        <w:p w:rsidR="00AF196F" w:rsidRDefault="00AF196F" w:rsidP="00AF196F">
          <w:pPr>
            <w:pStyle w:val="Encabezado"/>
          </w:pPr>
        </w:p>
        <w:tbl>
          <w:tblPr>
            <w:tblW w:w="12792" w:type="dxa"/>
            <w:tblLayout w:type="fixed"/>
            <w:tblLook w:val="00A0" w:firstRow="1" w:lastRow="0" w:firstColumn="1" w:lastColumn="0" w:noHBand="0" w:noVBand="0"/>
          </w:tblPr>
          <w:tblGrid>
            <w:gridCol w:w="7088"/>
            <w:gridCol w:w="5704"/>
          </w:tblGrid>
          <w:tr w:rsidR="00AF196F" w:rsidTr="00D859C9">
            <w:trPr>
              <w:trHeight w:val="1565"/>
            </w:trPr>
            <w:tc>
              <w:tcPr>
                <w:tcW w:w="7088" w:type="dxa"/>
                <w:shd w:val="clear" w:color="auto" w:fill="auto"/>
                <w:vAlign w:val="center"/>
              </w:tcPr>
              <w:p w:rsidR="00AF196F" w:rsidRDefault="00AF196F" w:rsidP="00AF196F">
                <w:pPr>
                  <w:pStyle w:val="Encabezado"/>
                  <w:tabs>
                    <w:tab w:val="clear" w:pos="4252"/>
                    <w:tab w:val="clear" w:pos="8504"/>
                    <w:tab w:val="left" w:pos="8505"/>
                  </w:tabs>
                  <w:ind w:left="-1104" w:right="-1494" w:firstLine="714"/>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rsidR="007C42DD">
                  <w:fldChar w:fldCharType="begin"/>
                </w:r>
                <w:r w:rsidR="007C42DD">
                  <w:instrText xml:space="preserve"> INCLUDEPICTURE  "https://www.cantabria.es/documents/28617/6427995/consejeria-presidencia.jpg/507b08e4-6cc9-5edc-21fe-9f56c5ef1ce0?version=1.0&amp;t=1531733117535&amp;imagePreview=1" \* MERGEFORMATINET </w:instrText>
                </w:r>
                <w:r w:rsidR="007C42DD">
                  <w:fldChar w:fldCharType="separate"/>
                </w:r>
                <w:r w:rsidR="004251F5">
                  <w:fldChar w:fldCharType="begin"/>
                </w:r>
                <w:r w:rsidR="004251F5">
                  <w:instrText xml:space="preserve"> </w:instrText>
                </w:r>
                <w:r w:rsidR="004251F5">
                  <w:instrText xml:space="preserve">INCLUDEPICTURE  "https://www.cantabria.es/documents/28617/6427995/consejeria-presidencia.jpg/507b08e4-6cc9-5edc-21fe-9f56c5ef1ce0?version=1.0&amp;t=1531733117535&amp;imagePreview=1" \* </w:instrText>
                </w:r>
                <w:r w:rsidR="004251F5">
                  <w:instrText>MERGEFORMATINET</w:instrText>
                </w:r>
                <w:r w:rsidR="004251F5">
                  <w:instrText xml:space="preserve"> </w:instrText>
                </w:r>
                <w:r w:rsidR="004251F5">
                  <w:fldChar w:fldCharType="separate"/>
                </w:r>
                <w:r w:rsidR="004251F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7" type="#_x0000_t75" alt="" style="width:170.55pt;height:88.5pt">
                      <v:imagedata r:id="rId1" r:href="rId2" cropright="33883f"/>
                    </v:shape>
                  </w:pict>
                </w:r>
                <w:r w:rsidR="004251F5">
                  <w:fldChar w:fldCharType="end"/>
                </w:r>
                <w:r w:rsidR="007C42DD">
                  <w:fldChar w:fldCharType="end"/>
                </w:r>
                <w:r>
                  <w:fldChar w:fldCharType="end"/>
                </w:r>
                <w:r>
                  <w:fldChar w:fldCharType="end"/>
                </w:r>
                <w:r>
                  <w:fldChar w:fldCharType="end"/>
                </w:r>
                <w:r>
                  <w:fldChar w:fldCharType="end"/>
                </w:r>
                <w:r>
                  <w:fldChar w:fldCharType="end"/>
                </w:r>
                <w:r>
                  <w:fldChar w:fldCharType="end"/>
                </w:r>
                <w:r>
                  <w:fldChar w:fldCharType="end"/>
                </w:r>
              </w:p>
              <w:p w:rsidR="00AF196F" w:rsidRDefault="00AF196F" w:rsidP="00AF196F">
                <w:pPr>
                  <w:pStyle w:val="Encabezado"/>
                  <w:ind w:left="212" w:firstLine="426"/>
                  <w:rPr>
                    <w:rFonts w:ascii="Arial" w:hAnsi="Arial" w:cs="Arial"/>
                    <w:b/>
                    <w:bCs/>
                    <w:sz w:val="14"/>
                    <w:szCs w:val="14"/>
                  </w:rPr>
                </w:pPr>
                <w:r w:rsidRPr="004A6D7C">
                  <w:rPr>
                    <w:rFonts w:ascii="Arial" w:hAnsi="Arial" w:cs="Arial"/>
                    <w:b/>
                    <w:bCs/>
                    <w:sz w:val="14"/>
                    <w:szCs w:val="14"/>
                  </w:rPr>
                  <w:t>DIRECCIÓN GENERAL</w:t>
                </w:r>
                <w:r>
                  <w:rPr>
                    <w:rFonts w:ascii="Arial" w:hAnsi="Arial" w:cs="Arial"/>
                    <w:b/>
                    <w:bCs/>
                    <w:sz w:val="14"/>
                    <w:szCs w:val="14"/>
                  </w:rPr>
                  <w:t xml:space="preserve"> </w:t>
                </w:r>
                <w:r w:rsidRPr="004A6D7C">
                  <w:rPr>
                    <w:rFonts w:ascii="Arial" w:hAnsi="Arial" w:cs="Arial"/>
                    <w:b/>
                    <w:bCs/>
                    <w:sz w:val="14"/>
                    <w:szCs w:val="14"/>
                  </w:rPr>
                  <w:t>DE</w:t>
                </w:r>
              </w:p>
              <w:p w:rsidR="00AF196F" w:rsidRPr="00672DC2" w:rsidRDefault="00AF196F" w:rsidP="00AF196F">
                <w:pPr>
                  <w:pStyle w:val="Encabezado"/>
                  <w:ind w:firstLine="714"/>
                  <w:rPr>
                    <w:rFonts w:ascii="Arial" w:hAnsi="Arial" w:cs="Arial"/>
                    <w:color w:val="000000"/>
                    <w:sz w:val="19"/>
                    <w:szCs w:val="19"/>
                  </w:rPr>
                </w:pPr>
                <w:r>
                  <w:rPr>
                    <w:rFonts w:ascii="Arial" w:hAnsi="Arial" w:cs="Arial"/>
                    <w:b/>
                    <w:bCs/>
                    <w:sz w:val="14"/>
                    <w:szCs w:val="14"/>
                  </w:rPr>
                  <w:t xml:space="preserve">   </w:t>
                </w:r>
                <w:r w:rsidRPr="004A6D7C">
                  <w:rPr>
                    <w:rFonts w:ascii="Arial" w:hAnsi="Arial" w:cs="Arial"/>
                    <w:b/>
                    <w:bCs/>
                    <w:sz w:val="14"/>
                    <w:szCs w:val="14"/>
                  </w:rPr>
                  <w:t xml:space="preserve"> FUNCIÓN PÚBLICA</w:t>
                </w:r>
              </w:p>
              <w:p w:rsidR="00AF196F" w:rsidRPr="007D7894" w:rsidRDefault="00AF196F" w:rsidP="00AF196F">
                <w:pPr>
                  <w:pStyle w:val="Encabezado"/>
                  <w:ind w:left="-108"/>
                  <w:rPr>
                    <w:rFonts w:ascii="Arial" w:hAnsi="Arial" w:cs="Arial"/>
                    <w:b/>
                    <w:sz w:val="16"/>
                    <w:szCs w:val="16"/>
                  </w:rPr>
                </w:pPr>
              </w:p>
            </w:tc>
            <w:tc>
              <w:tcPr>
                <w:tcW w:w="5704" w:type="dxa"/>
                <w:shd w:val="clear" w:color="auto" w:fill="auto"/>
                <w:vAlign w:val="center"/>
              </w:tcPr>
              <w:p w:rsidR="00AF196F" w:rsidRPr="007D7894" w:rsidRDefault="00AF196F" w:rsidP="00AF196F">
                <w:pPr>
                  <w:pStyle w:val="Encabezado"/>
                  <w:rPr>
                    <w:rFonts w:ascii="Arial" w:hAnsi="Arial" w:cs="Arial"/>
                    <w:b/>
                    <w:sz w:val="16"/>
                    <w:szCs w:val="16"/>
                  </w:rPr>
                </w:pPr>
              </w:p>
            </w:tc>
          </w:tr>
        </w:tbl>
        <w:p w:rsidR="00AF196F" w:rsidRDefault="00AF196F" w:rsidP="00AF196F">
          <w:pPr>
            <w:pStyle w:val="Encabezado"/>
          </w:pPr>
        </w:p>
      </w:tc>
      <w:tc>
        <w:tcPr>
          <w:tcW w:w="4966" w:type="dxa"/>
          <w:vAlign w:val="center"/>
        </w:tcPr>
        <w:p w:rsidR="00AF196F" w:rsidRDefault="00AF196F" w:rsidP="00AF196F">
          <w:pPr>
            <w:pStyle w:val="Encabezado"/>
            <w:tabs>
              <w:tab w:val="clear" w:pos="4252"/>
            </w:tabs>
            <w:ind w:left="-2448"/>
            <w:jc w:val="right"/>
          </w:pP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rsidR="007C42DD">
            <w:fldChar w:fldCharType="begin"/>
          </w:r>
          <w:r w:rsidR="007C42DD">
            <w:instrText xml:space="preserve"> INCLUDEPICTURE  "https://www.cantabria.es/documents/28617/6414679/jubilar_vert_color.jpg/4fd3efde-f205-6ae1-ff34-c066943dd8b3?t=1531732852940" \* MERGEFORMATINET </w:instrText>
          </w:r>
          <w:r w:rsidR="007C42DD">
            <w:fldChar w:fldCharType="separate"/>
          </w:r>
          <w:r w:rsidR="004251F5">
            <w:fldChar w:fldCharType="begin"/>
          </w:r>
          <w:r w:rsidR="004251F5">
            <w:instrText xml:space="preserve"> </w:instrText>
          </w:r>
          <w:r w:rsidR="004251F5">
            <w:instrText>INCLUDEPICTURE  "https://www.cantabria.es/doc</w:instrText>
          </w:r>
          <w:r w:rsidR="004251F5">
            <w:instrText>uments/28617/6414679/jubilar_vert_color.jpg/4fd3efde-f205-6ae1-ff34-c066943dd8b3?t=1531732852940" \* MERGEFORMATINET</w:instrText>
          </w:r>
          <w:r w:rsidR="004251F5">
            <w:instrText xml:space="preserve"> </w:instrText>
          </w:r>
          <w:r w:rsidR="004251F5">
            <w:fldChar w:fldCharType="separate"/>
          </w:r>
          <w:r w:rsidR="004251F5">
            <w:pict>
              <v:shape id="_x0000_i1108" type="#_x0000_t75" alt="" style="width:119.45pt;height:71.2pt">
                <v:imagedata r:id="rId3" r:href="rId4"/>
              </v:shape>
            </w:pict>
          </w:r>
          <w:r w:rsidR="004251F5">
            <w:fldChar w:fldCharType="end"/>
          </w:r>
          <w:r w:rsidR="007C42DD">
            <w:fldChar w:fldCharType="end"/>
          </w:r>
          <w:r>
            <w:fldChar w:fldCharType="end"/>
          </w:r>
          <w:r>
            <w:fldChar w:fldCharType="end"/>
          </w:r>
          <w:r>
            <w:fldChar w:fldCharType="end"/>
          </w:r>
          <w:r>
            <w:fldChar w:fldCharType="end"/>
          </w:r>
          <w:r>
            <w:fldChar w:fldCharType="end"/>
          </w:r>
          <w:r>
            <w:fldChar w:fldCharType="end"/>
          </w:r>
        </w:p>
      </w:tc>
    </w:tr>
  </w:tbl>
  <w:p w:rsidR="00AF196F" w:rsidRPr="00AF196F" w:rsidRDefault="00AF196F" w:rsidP="00AF196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991E9E"/>
    <w:multiLevelType w:val="multilevel"/>
    <w:tmpl w:val="7E90E364"/>
    <w:lvl w:ilvl="0">
      <w:start w:val="1"/>
      <w:numFmt w:val="decimal"/>
      <w:lvlText w:val="TEMA %1.-"/>
      <w:lvlJc w:val="left"/>
      <w:pPr>
        <w:ind w:left="502" w:hanging="360"/>
      </w:pPr>
      <w:rPr>
        <w:rFonts w:ascii="Arial" w:hAnsi="Arial" w:hint="default"/>
        <w:b/>
        <w:i w:val="0"/>
        <w:color w:val="auto"/>
        <w:sz w:val="20"/>
      </w:rPr>
    </w:lvl>
    <w:lvl w:ilvl="1">
      <w:start w:val="1"/>
      <w:numFmt w:val="decimal"/>
      <w:isLgl/>
      <w:lvlText w:val="%1.%2."/>
      <w:lvlJc w:val="left"/>
      <w:pPr>
        <w:ind w:left="1004"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292" w:hanging="1440"/>
      </w:pPr>
      <w:rPr>
        <w:rFonts w:hint="default"/>
      </w:rPr>
    </w:lvl>
    <w:lvl w:ilvl="6">
      <w:start w:val="1"/>
      <w:numFmt w:val="decimal"/>
      <w:isLgl/>
      <w:lvlText w:val="%1.%2.%3.%4.%5.%6.%7."/>
      <w:lvlJc w:val="left"/>
      <w:pPr>
        <w:ind w:left="2434" w:hanging="1440"/>
      </w:pPr>
      <w:rPr>
        <w:rFonts w:hint="default"/>
      </w:rPr>
    </w:lvl>
    <w:lvl w:ilvl="7">
      <w:start w:val="1"/>
      <w:numFmt w:val="decimal"/>
      <w:isLgl/>
      <w:lvlText w:val="%1.%2.%3.%4.%5.%6.%7.%8."/>
      <w:lvlJc w:val="left"/>
      <w:pPr>
        <w:ind w:left="2936" w:hanging="1800"/>
      </w:pPr>
      <w:rPr>
        <w:rFonts w:hint="default"/>
      </w:rPr>
    </w:lvl>
    <w:lvl w:ilvl="8">
      <w:start w:val="1"/>
      <w:numFmt w:val="decimal"/>
      <w:isLgl/>
      <w:lvlText w:val="%1.%2.%3.%4.%5.%6.%7.%8.%9."/>
      <w:lvlJc w:val="left"/>
      <w:pPr>
        <w:ind w:left="3078" w:hanging="1800"/>
      </w:pPr>
      <w:rPr>
        <w:rFonts w:hint="default"/>
      </w:rPr>
    </w:lvl>
  </w:abstractNum>
  <w:abstractNum w:abstractNumId="1" w15:restartNumberingAfterBreak="0">
    <w:nsid w:val="6E4404F0"/>
    <w:multiLevelType w:val="hybridMultilevel"/>
    <w:tmpl w:val="28546560"/>
    <w:lvl w:ilvl="0" w:tplc="51D6E9C8">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5576EB1"/>
    <w:multiLevelType w:val="hybridMultilevel"/>
    <w:tmpl w:val="B59A5F56"/>
    <w:lvl w:ilvl="0" w:tplc="64C43F8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6"/>
  <w:proofState w:spelling="clean" w:grammar="clean"/>
  <w:defaultTabStop w:val="708"/>
  <w:hyphenationZone w:val="425"/>
  <w:characterSpacingControl w:val="doNotCompress"/>
  <w:hdrShapeDefaults>
    <o:shapedefaults v:ext="edit" spidmax="614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B63"/>
    <w:rsid w:val="00017A71"/>
    <w:rsid w:val="000375C9"/>
    <w:rsid w:val="000436CF"/>
    <w:rsid w:val="00060A6D"/>
    <w:rsid w:val="00060EE5"/>
    <w:rsid w:val="000E2DD4"/>
    <w:rsid w:val="00100BE1"/>
    <w:rsid w:val="00151CF1"/>
    <w:rsid w:val="001A5CB7"/>
    <w:rsid w:val="002231D1"/>
    <w:rsid w:val="00235105"/>
    <w:rsid w:val="002402A5"/>
    <w:rsid w:val="00240ECC"/>
    <w:rsid w:val="00255BDF"/>
    <w:rsid w:val="002606E7"/>
    <w:rsid w:val="00263EE6"/>
    <w:rsid w:val="00270064"/>
    <w:rsid w:val="0028064B"/>
    <w:rsid w:val="002A0601"/>
    <w:rsid w:val="002A3061"/>
    <w:rsid w:val="002E5D9D"/>
    <w:rsid w:val="00304A7C"/>
    <w:rsid w:val="00313235"/>
    <w:rsid w:val="00322B7F"/>
    <w:rsid w:val="003567C2"/>
    <w:rsid w:val="00363B61"/>
    <w:rsid w:val="0037018F"/>
    <w:rsid w:val="00380869"/>
    <w:rsid w:val="0038387E"/>
    <w:rsid w:val="0038774C"/>
    <w:rsid w:val="003B2CC6"/>
    <w:rsid w:val="003B58B2"/>
    <w:rsid w:val="003B6A96"/>
    <w:rsid w:val="003F35A9"/>
    <w:rsid w:val="004251F5"/>
    <w:rsid w:val="00426DDF"/>
    <w:rsid w:val="0043608E"/>
    <w:rsid w:val="0044481C"/>
    <w:rsid w:val="004450A3"/>
    <w:rsid w:val="00446FDC"/>
    <w:rsid w:val="00451136"/>
    <w:rsid w:val="00476CB1"/>
    <w:rsid w:val="004A3D11"/>
    <w:rsid w:val="004A681E"/>
    <w:rsid w:val="004B448D"/>
    <w:rsid w:val="004D73F6"/>
    <w:rsid w:val="004E2704"/>
    <w:rsid w:val="004E41E5"/>
    <w:rsid w:val="00507760"/>
    <w:rsid w:val="005206AD"/>
    <w:rsid w:val="00531306"/>
    <w:rsid w:val="005E3015"/>
    <w:rsid w:val="00611669"/>
    <w:rsid w:val="00617397"/>
    <w:rsid w:val="00625E58"/>
    <w:rsid w:val="006464BD"/>
    <w:rsid w:val="006515AD"/>
    <w:rsid w:val="006609F8"/>
    <w:rsid w:val="00685683"/>
    <w:rsid w:val="0069236F"/>
    <w:rsid w:val="006B6347"/>
    <w:rsid w:val="006D70BC"/>
    <w:rsid w:val="007369F7"/>
    <w:rsid w:val="007A5541"/>
    <w:rsid w:val="007C29F3"/>
    <w:rsid w:val="007C42DD"/>
    <w:rsid w:val="007F5270"/>
    <w:rsid w:val="0081482E"/>
    <w:rsid w:val="008168A8"/>
    <w:rsid w:val="00852A6C"/>
    <w:rsid w:val="00894641"/>
    <w:rsid w:val="008A4405"/>
    <w:rsid w:val="008D3BD7"/>
    <w:rsid w:val="008F2480"/>
    <w:rsid w:val="008F6B63"/>
    <w:rsid w:val="009042CB"/>
    <w:rsid w:val="009327F5"/>
    <w:rsid w:val="00950A42"/>
    <w:rsid w:val="00985B44"/>
    <w:rsid w:val="009A38DF"/>
    <w:rsid w:val="009B3557"/>
    <w:rsid w:val="009D4919"/>
    <w:rsid w:val="00A02092"/>
    <w:rsid w:val="00A0605B"/>
    <w:rsid w:val="00A25C1F"/>
    <w:rsid w:val="00A77632"/>
    <w:rsid w:val="00AA7166"/>
    <w:rsid w:val="00AE3656"/>
    <w:rsid w:val="00AF196F"/>
    <w:rsid w:val="00B12323"/>
    <w:rsid w:val="00B1478D"/>
    <w:rsid w:val="00B27D24"/>
    <w:rsid w:val="00B86592"/>
    <w:rsid w:val="00BF1AA5"/>
    <w:rsid w:val="00BF5793"/>
    <w:rsid w:val="00C06303"/>
    <w:rsid w:val="00C370F2"/>
    <w:rsid w:val="00C5347E"/>
    <w:rsid w:val="00C55903"/>
    <w:rsid w:val="00C60D72"/>
    <w:rsid w:val="00C76F2E"/>
    <w:rsid w:val="00CA4296"/>
    <w:rsid w:val="00D44679"/>
    <w:rsid w:val="00DB6745"/>
    <w:rsid w:val="00DD1932"/>
    <w:rsid w:val="00DE7587"/>
    <w:rsid w:val="00DF064F"/>
    <w:rsid w:val="00E04F77"/>
    <w:rsid w:val="00E30752"/>
    <w:rsid w:val="00E40950"/>
    <w:rsid w:val="00E4421D"/>
    <w:rsid w:val="00E62860"/>
    <w:rsid w:val="00E96F0B"/>
    <w:rsid w:val="00EA0725"/>
    <w:rsid w:val="00EC40F0"/>
    <w:rsid w:val="00ED10D5"/>
    <w:rsid w:val="00ED4181"/>
    <w:rsid w:val="00F7535A"/>
    <w:rsid w:val="00FA2F89"/>
    <w:rsid w:val="00FA7414"/>
    <w:rsid w:val="00FB6E14"/>
    <w:rsid w:val="00FC37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7"/>
    <o:shapelayout v:ext="edit">
      <o:idmap v:ext="edit" data="1"/>
    </o:shapelayout>
  </w:shapeDefaults>
  <w:decimalSymbol w:val=","/>
  <w:listSeparator w:val=";"/>
  <w15:chartTrackingRefBased/>
  <w15:docId w15:val="{012940CB-DDA1-4D06-8535-2AE960FCD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F6B63"/>
    <w:pPr>
      <w:spacing w:after="0" w:line="240" w:lineRule="auto"/>
    </w:pPr>
  </w:style>
  <w:style w:type="paragraph" w:customStyle="1" w:styleId="Pa6">
    <w:name w:val="Pa6"/>
    <w:basedOn w:val="Normal"/>
    <w:next w:val="Normal"/>
    <w:uiPriority w:val="99"/>
    <w:rsid w:val="00894641"/>
    <w:pPr>
      <w:autoSpaceDE w:val="0"/>
      <w:autoSpaceDN w:val="0"/>
      <w:adjustRightInd w:val="0"/>
      <w:spacing w:after="0" w:line="201" w:lineRule="atLeast"/>
    </w:pPr>
    <w:rPr>
      <w:rFonts w:ascii="Arial" w:hAnsi="Arial" w:cs="Arial"/>
      <w:sz w:val="24"/>
      <w:szCs w:val="24"/>
    </w:rPr>
  </w:style>
  <w:style w:type="paragraph" w:customStyle="1" w:styleId="Default">
    <w:name w:val="Default"/>
    <w:rsid w:val="004E41E5"/>
    <w:pPr>
      <w:autoSpaceDE w:val="0"/>
      <w:autoSpaceDN w:val="0"/>
      <w:adjustRightInd w:val="0"/>
      <w:spacing w:after="0" w:line="240" w:lineRule="auto"/>
    </w:pPr>
    <w:rPr>
      <w:rFonts w:ascii="Arial Unicode MS" w:hAnsi="Arial Unicode MS" w:cs="Arial Unicode MS"/>
      <w:color w:val="000000"/>
      <w:sz w:val="24"/>
      <w:szCs w:val="24"/>
    </w:rPr>
  </w:style>
  <w:style w:type="paragraph" w:styleId="Textodeglobo">
    <w:name w:val="Balloon Text"/>
    <w:basedOn w:val="Normal"/>
    <w:link w:val="TextodegloboCar"/>
    <w:uiPriority w:val="99"/>
    <w:semiHidden/>
    <w:unhideWhenUsed/>
    <w:rsid w:val="00E6286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2860"/>
    <w:rPr>
      <w:rFonts w:ascii="Segoe UI" w:hAnsi="Segoe UI" w:cs="Segoe UI"/>
      <w:sz w:val="18"/>
      <w:szCs w:val="18"/>
    </w:rPr>
  </w:style>
  <w:style w:type="paragraph" w:styleId="Encabezado">
    <w:name w:val="header"/>
    <w:basedOn w:val="Normal"/>
    <w:link w:val="EncabezadoCar"/>
    <w:unhideWhenUsed/>
    <w:rsid w:val="00AE3656"/>
    <w:pPr>
      <w:tabs>
        <w:tab w:val="center" w:pos="4252"/>
        <w:tab w:val="right" w:pos="8504"/>
      </w:tabs>
      <w:spacing w:after="0" w:line="240" w:lineRule="auto"/>
    </w:pPr>
  </w:style>
  <w:style w:type="character" w:customStyle="1" w:styleId="EncabezadoCar">
    <w:name w:val="Encabezado Car"/>
    <w:basedOn w:val="Fuentedeprrafopredeter"/>
    <w:link w:val="Encabezado"/>
    <w:rsid w:val="00AE3656"/>
  </w:style>
  <w:style w:type="paragraph" w:styleId="Piedepgina">
    <w:name w:val="footer"/>
    <w:basedOn w:val="Normal"/>
    <w:link w:val="PiedepginaCar"/>
    <w:uiPriority w:val="99"/>
    <w:unhideWhenUsed/>
    <w:rsid w:val="00AE365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E3656"/>
  </w:style>
  <w:style w:type="paragraph" w:styleId="Prrafodelista">
    <w:name w:val="List Paragraph"/>
    <w:basedOn w:val="Normal"/>
    <w:uiPriority w:val="34"/>
    <w:qFormat/>
    <w:rsid w:val="003F35A9"/>
    <w:pPr>
      <w:spacing w:after="0" w:line="240" w:lineRule="auto"/>
    </w:pPr>
    <w:rPr>
      <w:rFonts w:ascii="Times New Roman" w:hAnsi="Times New Roman" w:cs="Times New Roman"/>
      <w:sz w:val="24"/>
      <w:szCs w:val="24"/>
      <w:lang w:eastAsia="es-ES"/>
    </w:rPr>
  </w:style>
  <w:style w:type="table" w:styleId="Tablaconcuadrcula">
    <w:name w:val="Table Grid"/>
    <w:basedOn w:val="Tablanormal"/>
    <w:uiPriority w:val="39"/>
    <w:rsid w:val="00AF19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0C7F4-464F-47D0-9D16-F1D7934A4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8</Pages>
  <Words>4033</Words>
  <Characters>22187</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Cuervas-Mons Mons Roberto</dc:creator>
  <cp:keywords/>
  <dc:description/>
  <cp:lastModifiedBy>Oria Pérez Aida Eugenia</cp:lastModifiedBy>
  <cp:revision>9</cp:revision>
  <cp:lastPrinted>2019-02-11T14:22:00Z</cp:lastPrinted>
  <dcterms:created xsi:type="dcterms:W3CDTF">2019-02-13T07:17:00Z</dcterms:created>
  <dcterms:modified xsi:type="dcterms:W3CDTF">2019-02-20T08:49:00Z</dcterms:modified>
</cp:coreProperties>
</file>